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84"/>
        </w:rPr>
      </w:pPr>
    </w:p>
    <w:p>
      <w:pPr>
        <w:ind w:right="105"/>
        <w:jc w:val="right"/>
        <w:rPr>
          <w:rFonts w:eastAsia="黑体"/>
          <w:b/>
          <w:spacing w:val="40"/>
          <w:w w:val="66"/>
          <w:sz w:val="60"/>
          <w:szCs w:val="60"/>
        </w:rPr>
      </w:pPr>
      <w:r>
        <w:rPr>
          <w:rFonts w:hint="eastAsia" w:eastAsia="黑体"/>
          <w:b/>
          <w:spacing w:val="40"/>
          <w:w w:val="66"/>
          <w:sz w:val="60"/>
          <w:szCs w:val="60"/>
        </w:rPr>
        <w:t xml:space="preserve">    天津市生态环境监测中心-</w:t>
      </w:r>
      <w:bookmarkStart w:id="8" w:name="_GoBack"/>
      <w:r>
        <w:rPr>
          <w:rFonts w:hint="eastAsia" w:eastAsia="黑体"/>
          <w:b/>
          <w:spacing w:val="40"/>
          <w:w w:val="66"/>
          <w:sz w:val="60"/>
          <w:szCs w:val="60"/>
        </w:rPr>
        <w:t>天津市环境空气质量信息发布系统运行维护和小尺度模型计算技术支持服务</w:t>
      </w: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347980</wp:posOffset>
                </wp:positionV>
                <wp:extent cx="720090" cy="0"/>
                <wp:effectExtent l="0" t="95250" r="4445" b="952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7.4pt;height:0pt;width:56.7pt;z-index:251659264;mso-width-relative:page;mso-height-relative:page;" filled="f" stroked="t" coordsize="21600,21600" o:gfxdata="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sIvGnWAAAA&#10;CAEAAA8AAAAAAAAAAQAgAAAAIgAAAGRycy9kb3ducmV2LnhtbFBLAQIUABQAAAAIAIdO4kDMH89D&#10;5gEAAKsDAAAOAAAAAAAAAAEAIAAAACUBAABkcnMvZTJvRG9jLnhtbFBLBQYAAAAABgAGAFkBAAB9&#10;BQAAAAA=&#10;">
                <v:fill on="f" focussize="0,0"/>
                <v:stroke weight="15pt" color="#4B69B5" joinstyle="round"/>
                <v:imagedata o:title=""/>
                <o:lock v:ext="edit" aspectratio="f"/>
              </v:line>
            </w:pict>
          </mc:Fallback>
        </mc:AlternateContent>
      </w:r>
      <w:r>
        <w:rPr>
          <w:rFonts w:eastAsia="黑体"/>
          <w:b/>
          <w:spacing w:val="40"/>
          <w:w w:val="66"/>
          <w:sz w:val="60"/>
          <w:szCs w:val="60"/>
        </w:rPr>
        <w:t>项目</w:t>
      </w:r>
      <w:bookmarkEnd w:id="8"/>
    </w:p>
    <w:p>
      <w:pPr>
        <w:ind w:right="105"/>
        <w:jc w:val="right"/>
        <w:rPr>
          <w:rFonts w:eastAsia="黑体"/>
          <w:b/>
          <w:spacing w:val="40"/>
          <w:w w:val="66"/>
          <w:sz w:val="60"/>
          <w:szCs w:val="60"/>
        </w:rPr>
      </w:pPr>
      <w:r>
        <w:rPr>
          <w:rFonts w:eastAsia="黑体"/>
          <w:b/>
          <w:spacing w:val="40"/>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pPr>
        <w:ind w:right="1025"/>
        <w:jc w:val="center"/>
        <w:rPr>
          <w:rFonts w:eastAsia="黑体"/>
          <w:b/>
          <w:spacing w:val="40"/>
          <w:w w:val="66"/>
          <w:sz w:val="60"/>
          <w:szCs w:val="60"/>
        </w:rPr>
      </w:pPr>
    </w:p>
    <w:p>
      <w:pPr>
        <w:jc w:val="center"/>
        <w:rPr>
          <w:rFonts w:eastAsia="黑体"/>
          <w:b/>
          <w:spacing w:val="40"/>
          <w:w w:val="66"/>
          <w:sz w:val="15"/>
          <w:szCs w:val="15"/>
        </w:rPr>
      </w:pPr>
      <w:r>
        <w:rPr>
          <w:rFonts w:eastAsia="黑体"/>
          <w:b/>
          <w:spacing w:val="40"/>
          <w:w w:val="66"/>
          <w:sz w:val="56"/>
          <w:szCs w:val="56"/>
        </w:rPr>
        <w:t xml:space="preserve">            </w:t>
      </w:r>
    </w:p>
    <w:p>
      <w:pPr>
        <w:jc w:val="center"/>
        <w:rPr>
          <w:rFonts w:eastAsia="黑体"/>
          <w:spacing w:val="40"/>
          <w:w w:val="66"/>
          <w:sz w:val="32"/>
          <w:szCs w:val="32"/>
        </w:rPr>
      </w:pPr>
      <w:r>
        <w:rPr>
          <w:rFonts w:eastAsia="黑体"/>
          <w:spacing w:val="40"/>
          <w:w w:val="66"/>
          <w:sz w:val="32"/>
          <w:szCs w:val="32"/>
        </w:rPr>
        <w:t>（项目编号：TGPC-20</w:t>
      </w:r>
      <w:r>
        <w:rPr>
          <w:rFonts w:hint="eastAsia" w:eastAsia="黑体"/>
          <w:spacing w:val="40"/>
          <w:w w:val="66"/>
          <w:sz w:val="32"/>
          <w:szCs w:val="32"/>
        </w:rPr>
        <w:t>21</w:t>
      </w:r>
      <w:r>
        <w:rPr>
          <w:rFonts w:eastAsia="黑体"/>
          <w:spacing w:val="40"/>
          <w:w w:val="66"/>
          <w:sz w:val="32"/>
          <w:szCs w:val="32"/>
        </w:rPr>
        <w:t>-</w:t>
      </w:r>
      <w:r>
        <w:rPr>
          <w:rFonts w:hint="eastAsia" w:eastAsia="黑体"/>
          <w:spacing w:val="40"/>
          <w:w w:val="66"/>
          <w:sz w:val="32"/>
          <w:szCs w:val="32"/>
        </w:rPr>
        <w:t>D</w:t>
      </w:r>
      <w:r>
        <w:rPr>
          <w:rFonts w:eastAsia="黑体"/>
          <w:spacing w:val="40"/>
          <w:w w:val="66"/>
          <w:sz w:val="32"/>
          <w:szCs w:val="32"/>
        </w:rPr>
        <w:t>-0620）</w:t>
      </w:r>
    </w:p>
    <w:p>
      <w:pPr>
        <w:rPr>
          <w:sz w:val="40"/>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ind w:firstLine="2897" w:firstLineChars="1493"/>
        <w:rPr>
          <w:rFonts w:eastAsia="黑体"/>
          <w:spacing w:val="20"/>
          <w:w w:val="66"/>
          <w:sz w:val="44"/>
          <w:szCs w:val="44"/>
        </w:rPr>
      </w:pPr>
      <w: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pPr>
        <w:tabs>
          <w:tab w:val="left" w:pos="3281"/>
          <w:tab w:val="center" w:pos="4711"/>
        </w:tabs>
        <w:jc w:val="center"/>
        <w:rPr>
          <w:rFonts w:eastAsia="仿宋_GB2312"/>
          <w:b/>
          <w:bCs/>
          <w:kern w:val="0"/>
          <w:sz w:val="44"/>
          <w:szCs w:val="44"/>
        </w:rPr>
      </w:pPr>
      <w:r>
        <w:rPr>
          <w:rFonts w:eastAsia="仿宋_GB2312"/>
          <w:b/>
          <w:bCs/>
          <w:kern w:val="0"/>
          <w:sz w:val="44"/>
          <w:szCs w:val="44"/>
        </w:rPr>
        <w:t>20</w:t>
      </w:r>
      <w:r>
        <w:rPr>
          <w:rFonts w:hint="eastAsia" w:eastAsia="仿宋_GB2312"/>
          <w:b/>
          <w:bCs/>
          <w:kern w:val="0"/>
          <w:sz w:val="44"/>
          <w:szCs w:val="44"/>
        </w:rPr>
        <w:t>21</w:t>
      </w:r>
      <w:r>
        <w:rPr>
          <w:rFonts w:eastAsia="仿宋_GB2312"/>
          <w:b/>
          <w:bCs/>
          <w:kern w:val="0"/>
          <w:sz w:val="44"/>
          <w:szCs w:val="44"/>
        </w:rPr>
        <w:t>.</w:t>
      </w:r>
      <w:r>
        <w:rPr>
          <w:rFonts w:hint="eastAsia" w:eastAsia="仿宋_GB2312"/>
          <w:b/>
          <w:bCs/>
          <w:kern w:val="0"/>
          <w:sz w:val="44"/>
          <w:szCs w:val="44"/>
        </w:rPr>
        <w:t>9</w:t>
      </w:r>
    </w:p>
    <w:p>
      <w:pPr>
        <w:widowControl/>
        <w:jc w:val="left"/>
        <w:rPr>
          <w:rFonts w:eastAsia="仿宋_GB2312"/>
          <w:b/>
          <w:bCs/>
          <w:kern w:val="0"/>
          <w:sz w:val="44"/>
          <w:szCs w:val="44"/>
        </w:rPr>
      </w:pPr>
    </w:p>
    <w:p>
      <w:pPr>
        <w:ind w:firstLine="408" w:firstLineChars="100"/>
        <w:jc w:val="center"/>
        <w:rPr>
          <w:b/>
          <w:spacing w:val="20"/>
          <w:w w:val="80"/>
          <w:sz w:val="48"/>
          <w:szCs w:val="48"/>
        </w:rPr>
        <w:sectPr>
          <w:headerReference r:id="rId3" w:type="default"/>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spacing w:val="20"/>
          <w:w w:val="80"/>
          <w:sz w:val="48"/>
          <w:szCs w:val="48"/>
        </w:rPr>
      </w:pPr>
      <w:r>
        <w:rPr>
          <w:b/>
          <w:spacing w:val="20"/>
          <w:w w:val="80"/>
          <w:sz w:val="48"/>
          <w:szCs w:val="48"/>
        </w:rPr>
        <w:t>目  录</w:t>
      </w:r>
    </w:p>
    <w:p>
      <w:pPr>
        <w:spacing w:line="560" w:lineRule="exact"/>
        <w:ind w:right="-141" w:rightChars="-73"/>
        <w:rPr>
          <w:b/>
          <w:sz w:val="24"/>
        </w:rPr>
      </w:pPr>
      <w:r>
        <w:rPr>
          <w:b/>
          <w:sz w:val="24"/>
        </w:rPr>
        <w:t>第一部分  投标邀请函</w:t>
      </w:r>
    </w:p>
    <w:p>
      <w:pPr>
        <w:spacing w:line="560" w:lineRule="exact"/>
        <w:ind w:right="-141" w:rightChars="-73"/>
        <w:rPr>
          <w:b/>
          <w:sz w:val="24"/>
        </w:rPr>
      </w:pPr>
    </w:p>
    <w:p>
      <w:pPr>
        <w:spacing w:line="560" w:lineRule="exact"/>
        <w:ind w:right="-141" w:rightChars="-73"/>
        <w:rPr>
          <w:b/>
          <w:sz w:val="24"/>
        </w:rPr>
      </w:pPr>
      <w:r>
        <w:rPr>
          <w:b/>
          <w:sz w:val="24"/>
        </w:rPr>
        <w:t>第二部分  招标项目要求</w:t>
      </w:r>
    </w:p>
    <w:p>
      <w:pPr>
        <w:spacing w:line="560" w:lineRule="exact"/>
        <w:ind w:right="-141" w:rightChars="-73"/>
        <w:rPr>
          <w:b/>
          <w:sz w:val="24"/>
        </w:rPr>
      </w:pPr>
    </w:p>
    <w:p>
      <w:pPr>
        <w:spacing w:line="560" w:lineRule="exact"/>
        <w:ind w:right="-141" w:rightChars="-73"/>
        <w:rPr>
          <w:b/>
          <w:sz w:val="24"/>
        </w:rPr>
      </w:pPr>
      <w:r>
        <w:rPr>
          <w:b/>
          <w:sz w:val="24"/>
        </w:rPr>
        <w:t>第三部分  投标须知</w:t>
      </w:r>
    </w:p>
    <w:p>
      <w:pPr>
        <w:spacing w:line="560" w:lineRule="exact"/>
        <w:ind w:right="-141" w:rightChars="-73"/>
        <w:rPr>
          <w:sz w:val="24"/>
        </w:rPr>
      </w:pPr>
    </w:p>
    <w:p>
      <w:pPr>
        <w:spacing w:line="560" w:lineRule="exact"/>
        <w:rPr>
          <w:b/>
          <w:sz w:val="24"/>
        </w:rPr>
      </w:pPr>
      <w:r>
        <w:rPr>
          <w:b/>
          <w:sz w:val="24"/>
        </w:rPr>
        <w:t>第四部分  合同条款</w:t>
      </w:r>
    </w:p>
    <w:p>
      <w:pPr>
        <w:spacing w:line="560" w:lineRule="exact"/>
        <w:rPr>
          <w:sz w:val="24"/>
        </w:rPr>
      </w:pPr>
    </w:p>
    <w:p>
      <w:pPr>
        <w:spacing w:line="560" w:lineRule="exact"/>
        <w:rPr>
          <w:sz w:val="24"/>
        </w:rPr>
      </w:pPr>
      <w:r>
        <w:rPr>
          <w:b/>
          <w:sz w:val="24"/>
        </w:rPr>
        <w:t>第五部分  投标文件格式</w:t>
      </w:r>
    </w:p>
    <w:p>
      <w:pPr>
        <w:rPr>
          <w:sz w:val="24"/>
        </w:rPr>
      </w:pPr>
    </w:p>
    <w:p>
      <w:pPr>
        <w:rPr>
          <w:sz w:val="24"/>
        </w:rPr>
      </w:pPr>
    </w:p>
    <w:p>
      <w:pPr>
        <w:rPr>
          <w:sz w:val="24"/>
        </w:rPr>
      </w:pPr>
    </w:p>
    <w:p>
      <w:pPr>
        <w:rPr>
          <w:sz w:val="24"/>
        </w:rPr>
      </w:pPr>
    </w:p>
    <w:p>
      <w:pPr>
        <w:rPr>
          <w:sz w:val="24"/>
        </w:rPr>
      </w:pPr>
    </w:p>
    <w:p>
      <w:pPr>
        <w:rPr>
          <w:sz w:val="24"/>
        </w:rPr>
      </w:pPr>
    </w:p>
    <w:p>
      <w:pPr>
        <w:rPr>
          <w:b/>
        </w:rPr>
      </w:pPr>
    </w:p>
    <w:p>
      <w:pPr>
        <w:pStyle w:val="13"/>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3"/>
        <w:rPr>
          <w:rFonts w:ascii="Times New Roman" w:hAnsi="Times New Roman"/>
        </w:rPr>
      </w:pPr>
      <w:r>
        <w:rPr>
          <w:rFonts w:ascii="Times New Roman" w:hAnsi="Times New Roman"/>
        </w:rPr>
        <w:t>第一部分  投标邀请函</w:t>
      </w:r>
      <w:bookmarkEnd w:id="0"/>
    </w:p>
    <w:p>
      <w:pPr>
        <w:pStyle w:val="22"/>
        <w:spacing w:line="360" w:lineRule="auto"/>
        <w:ind w:firstLine="448" w:firstLineChars="200"/>
        <w:jc w:val="both"/>
        <w:rPr>
          <w:rFonts w:ascii="Times New Roman" w:hAnsi="Times New Roman" w:cs="Times New Roman" w:eastAsiaTheme="minorEastAsia"/>
          <w:color w:val="auto"/>
          <w:szCs w:val="32"/>
        </w:rPr>
      </w:pPr>
      <w:r>
        <w:rPr>
          <w:rFonts w:ascii="Times New Roman" w:hAnsi="Times New Roman" w:cs="Times New Roman" w:eastAsiaTheme="minorEastAsia"/>
          <w:color w:val="auto"/>
          <w:szCs w:val="32"/>
        </w:rPr>
        <w:t>受</w:t>
      </w:r>
      <w:r>
        <w:rPr>
          <w:rFonts w:hint="eastAsia" w:ascii="Times New Roman" w:hAnsi="Times New Roman" w:cs="Times New Roman" w:eastAsiaTheme="minorEastAsia"/>
          <w:color w:val="auto"/>
          <w:szCs w:val="32"/>
        </w:rPr>
        <w:t>天津市生态环境监测中心</w:t>
      </w:r>
      <w:r>
        <w:rPr>
          <w:rFonts w:ascii="Times New Roman" w:hAnsi="Times New Roman" w:cs="Times New Roman" w:eastAsiaTheme="minorEastAsia"/>
          <w:color w:val="auto"/>
          <w:szCs w:val="32"/>
        </w:rPr>
        <w:t>委托，天津市政府采购中心将以公开招标方式，对</w:t>
      </w:r>
      <w:r>
        <w:rPr>
          <w:rFonts w:hint="eastAsia" w:ascii="Times New Roman" w:hAnsi="Times New Roman" w:cs="Times New Roman" w:eastAsiaTheme="minorEastAsia"/>
          <w:color w:val="auto"/>
          <w:szCs w:val="32"/>
        </w:rPr>
        <w:t>天津市生态环境监测中心-天津市环境空气质量信息发布系统运行维护和小尺度模型计算技术支持服务项目</w:t>
      </w:r>
      <w:r>
        <w:rPr>
          <w:rFonts w:ascii="Times New Roman" w:hAnsi="Times New Roman" w:cs="Times New Roman" w:eastAsiaTheme="minorEastAsia"/>
          <w:color w:val="auto"/>
          <w:szCs w:val="32"/>
        </w:rPr>
        <w:t>实施政府采购。现欢迎合格的供应商参加投标。</w:t>
      </w:r>
    </w:p>
    <w:p>
      <w:pPr>
        <w:pStyle w:val="22"/>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投标文件，只接受加盖投标人电子签章的PDF格式电子投标文件（以通过电子签章客户端软件winaip正确读取签章信息为准）。供应商参加投标前须办理CA数字证书（USBKEY）和电子签章。投标人须按招标文件的规定在天津市政府采购中心招投标系统中提交网上应答并上传加盖投标人电子签章的PDF格式电子投标文件（以通过电子签章客户端软件winaip正确读取签章信息为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天津市生态环境监测中心-天津市环境空气质量信息发布系统运行维护和小尺度模型计算技术支持服务项目</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（二）项目编号：TGPC-20</w:t>
      </w:r>
      <w:r>
        <w:rPr>
          <w:rFonts w:hint="eastAsia" w:ascii="Times New Roman" w:hAnsi="Times New Roman" w:eastAsia="宋体" w:cs="Times New Roman"/>
          <w:color w:val="auto"/>
        </w:rPr>
        <w:t>21</w:t>
      </w:r>
      <w:r>
        <w:rPr>
          <w:rFonts w:ascii="Times New Roman" w:hAnsi="Times New Roman" w:eastAsia="宋体" w:cs="Times New Roman"/>
          <w:color w:val="auto"/>
        </w:rPr>
        <w:t>-</w:t>
      </w:r>
      <w:r>
        <w:rPr>
          <w:rFonts w:hint="eastAsia" w:ascii="Times New Roman" w:hAnsi="Times New Roman" w:eastAsia="宋体" w:cs="Times New Roman"/>
          <w:color w:val="auto"/>
        </w:rPr>
        <w:t>D</w:t>
      </w:r>
      <w:r>
        <w:rPr>
          <w:rFonts w:ascii="Times New Roman" w:hAnsi="Times New Roman" w:eastAsia="宋体" w:cs="Times New Roman"/>
          <w:color w:val="auto"/>
        </w:rPr>
        <w:t>-0620</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第一包：</w:t>
      </w:r>
      <w:r>
        <w:rPr>
          <w:rFonts w:hint="eastAsia" w:ascii="Times New Roman" w:hAnsi="Times New Roman" w:eastAsia="宋体" w:cs="Times New Roman"/>
          <w:color w:val="auto"/>
        </w:rPr>
        <w:t>天津市环境空气质量信息发布系统运行维护和小尺度模型计算技术支持服务，合同履行期限：自合同签订之日起1年。</w:t>
      </w:r>
    </w:p>
    <w:p>
      <w:pPr>
        <w:tabs>
          <w:tab w:val="left" w:pos="210"/>
        </w:tabs>
        <w:autoSpaceDE w:val="0"/>
        <w:autoSpaceDN w:val="0"/>
        <w:adjustRightInd w:val="0"/>
        <w:spacing w:line="360" w:lineRule="auto"/>
        <w:ind w:firstLine="448" w:firstLineChars="200"/>
        <w:outlineLvl w:val="0"/>
        <w:rPr>
          <w:strike/>
          <w:sz w:val="24"/>
          <w:szCs w:val="24"/>
        </w:rPr>
      </w:pPr>
      <w:r>
        <w:rPr>
          <w:sz w:val="24"/>
          <w:szCs w:val="24"/>
          <w:lang w:val="zh-CN"/>
        </w:rPr>
        <w:t>本项目不接受进口产品投标。</w:t>
      </w:r>
    </w:p>
    <w:p>
      <w:pPr>
        <w:pStyle w:val="22"/>
        <w:spacing w:line="360" w:lineRule="auto"/>
        <w:ind w:firstLine="448" w:firstLineChars="200"/>
        <w:jc w:val="both"/>
        <w:rPr>
          <w:rFonts w:ascii="Times New Roman" w:hAnsi="Times New Roman" w:cs="Times New Roman"/>
          <w:color w:val="auto"/>
        </w:rPr>
      </w:pPr>
      <w:r>
        <w:rPr>
          <w:rFonts w:ascii="Times New Roman" w:hAnsi="Times New Roman" w:cs="Times New Roman"/>
          <w:color w:val="auto"/>
        </w:rPr>
        <w:t>三、项目预算</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第一包：560000元</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、供应商资格要求（实质性要求）</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（一）投标人须具备《中华人民共和国政府采购法》第二十二条第一款规定的条件，提供以下材料：</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营业执照副本扫描件。</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A.经第三方会计师事务所审计的2020年度财务报告扫描件。</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B. 2021年度银行出具的资信证明扫描件。</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2021年度至少1个月的依法缴纳税收和社会保险费的相关证明材料扫描件。</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投标截止日前3年在经营活动中没有重大违法记录的书面声明（截至开标日成立不足3年的供应商可提供自成立以来无重大违法记录的书面声明）。</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5. 提交具备履行合同所必需的设备和专业技术能力证明材料。</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（二）本项目不接受联合体投标。</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cs="Times New Roman" w:eastAsiaTheme="minorEastAsia"/>
          <w:color w:val="auto"/>
        </w:rPr>
        <w:t>（三）本项目专门面向中小企业采购，提供《中小企业声明函》。</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、项目需要落实的政府采购政策</w:t>
      </w:r>
    </w:p>
    <w:p>
      <w:pPr>
        <w:pStyle w:val="22"/>
        <w:spacing w:line="360" w:lineRule="auto"/>
        <w:ind w:firstLine="448" w:firstLineChars="200"/>
        <w:rPr>
          <w:rFonts w:ascii="Times New Roman" w:hAnsi="Times New Roman" w:eastAsia="宋体" w:cs="Times New Roman"/>
          <w:color w:val="auto"/>
        </w:rPr>
      </w:pPr>
      <w:bookmarkStart w:id="1" w:name="OLE_LINK3"/>
      <w:bookmarkStart w:id="2" w:name="OLE_LINK4"/>
      <w:r>
        <w:rPr>
          <w:rFonts w:ascii="Times New Roman" w:hAnsi="Times New Roman" w:eastAsia="宋体" w:cs="Times New Roman"/>
          <w:color w:val="auto"/>
        </w:rPr>
        <w:t>（一）根据</w:t>
      </w:r>
      <w:r>
        <w:rPr>
          <w:rFonts w:hint="eastAsia" w:ascii="Times New Roman" w:hAnsi="Times New Roman" w:eastAsia="宋体" w:cs="Times New Roman"/>
          <w:color w:val="auto"/>
        </w:rPr>
        <w:t>《政府采购促进中小企业发展管理办法》（财库[2020]46号）</w:t>
      </w:r>
      <w:r>
        <w:rPr>
          <w:rFonts w:ascii="Times New Roman" w:hAnsi="Times New Roman" w:eastAsia="宋体" w:cs="Times New Roman"/>
          <w:color w:val="auto"/>
        </w:rPr>
        <w:t>规定，</w:t>
      </w:r>
      <w:r>
        <w:rPr>
          <w:rFonts w:hint="eastAsia" w:ascii="Times New Roman" w:hAnsi="Times New Roman" w:eastAsia="宋体" w:cs="Times New Roman"/>
          <w:color w:val="auto"/>
        </w:rPr>
        <w:t>本项目专门面向中小企业采购</w:t>
      </w:r>
      <w:r>
        <w:rPr>
          <w:rFonts w:ascii="Times New Roman" w:hAnsi="Times New Roman" w:eastAsia="宋体" w:cs="Times New Roman"/>
          <w:color w:val="auto"/>
        </w:rPr>
        <w:t>。</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（二）根据财政部发布的《关于政府采购支持监狱企业发展有关问题的通知》规定，监狱企业视同小微企业。</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pPr>
        <w:pStyle w:val="22"/>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2"/>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1"/>
    <w:bookmarkEnd w:id="2"/>
    <w:p>
      <w:pPr>
        <w:pStyle w:val="22"/>
        <w:spacing w:line="360" w:lineRule="auto"/>
        <w:ind w:firstLine="448" w:firstLineChars="200"/>
        <w:jc w:val="both"/>
        <w:rPr>
          <w:rFonts w:ascii="Times New Roman" w:hAnsi="Times New Roman" w:eastAsia="宋体" w:cs="Times New Roman"/>
          <w:color w:val="auto"/>
        </w:rPr>
      </w:pPr>
      <w:bookmarkStart w:id="3" w:name="_Toc412903615"/>
      <w:r>
        <w:rPr>
          <w:rFonts w:ascii="Times New Roman" w:hAnsi="Times New Roman" w:eastAsia="宋体" w:cs="Times New Roman"/>
          <w:color w:val="auto"/>
        </w:rPr>
        <w:t>六、获取招标文件时间、方式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（一）获取招标文件时间：2021年</w:t>
      </w:r>
      <w:r>
        <w:rPr>
          <w:rFonts w:hint="eastAsia" w:ascii="Times New Roman" w:hAnsi="Times New Roman" w:eastAsia="宋体" w:cs="Times New Roman"/>
          <w:color w:val="auto"/>
        </w:rPr>
        <w:t>9</w:t>
      </w:r>
      <w:r>
        <w:rPr>
          <w:rFonts w:ascii="Times New Roman" w:hAnsi="Times New Roman" w:eastAsia="宋体" w:cs="Times New Roman"/>
          <w:color w:val="auto"/>
        </w:rPr>
        <w:t>月</w:t>
      </w:r>
      <w:r>
        <w:rPr>
          <w:rFonts w:hint="eastAsia" w:ascii="Times New Roman" w:hAnsi="Times New Roman" w:eastAsia="宋体" w:cs="Times New Roman"/>
          <w:color w:val="auto"/>
        </w:rPr>
        <w:t>30</w:t>
      </w:r>
      <w:r>
        <w:rPr>
          <w:rFonts w:ascii="Times New Roman" w:hAnsi="Times New Roman" w:eastAsia="宋体" w:cs="Times New Roman"/>
          <w:color w:val="auto"/>
        </w:rPr>
        <w:t>日至2021年</w:t>
      </w:r>
      <w:r>
        <w:rPr>
          <w:rFonts w:hint="eastAsia" w:ascii="Times New Roman" w:hAnsi="Times New Roman" w:eastAsia="宋体" w:cs="Times New Roman"/>
          <w:color w:val="auto"/>
        </w:rPr>
        <w:t>10</w:t>
      </w:r>
      <w:r>
        <w:rPr>
          <w:rFonts w:ascii="Times New Roman" w:hAnsi="Times New Roman" w:eastAsia="宋体" w:cs="Times New Roman"/>
          <w:color w:val="auto"/>
        </w:rPr>
        <w:t>月</w:t>
      </w:r>
      <w:r>
        <w:rPr>
          <w:rFonts w:hint="eastAsia" w:ascii="Times New Roman" w:hAnsi="Times New Roman" w:eastAsia="宋体" w:cs="Times New Roman"/>
          <w:color w:val="auto"/>
        </w:rPr>
        <w:t>13</w:t>
      </w:r>
      <w:r>
        <w:rPr>
          <w:rFonts w:ascii="Times New Roman" w:hAnsi="Times New Roman" w:eastAsia="宋体" w:cs="Times New Roman"/>
          <w:color w:val="auto"/>
        </w:rPr>
        <w:t>日，每日9:00至17:00（北京时间，法定节假日除外）。</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（二）获取招标文件的方式：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获取招标文件网址：使用天津市电子认证中心发出的CA数字证书（USBKey）登录天津市政府采购中心网（网址：</w:t>
      </w:r>
      <w:r>
        <w:fldChar w:fldCharType="begin"/>
      </w:r>
      <w:r>
        <w:instrText xml:space="preserve"> HYPERLINK "http://www.tjgpc.gov.cn" </w:instrText>
      </w:r>
      <w:r>
        <w:fldChar w:fldCharType="separate"/>
      </w:r>
      <w:r>
        <w:rPr>
          <w:rStyle w:val="20"/>
          <w:rFonts w:hint="eastAsia" w:ascii="Times New Roman" w:hAnsi="Times New Roman" w:eastAsia="宋体" w:cs="Times New Roman"/>
        </w:rPr>
        <w:t>http://tjgpc.zwfwb.tj.gov.cn</w:t>
      </w:r>
      <w:r>
        <w:rPr>
          <w:rStyle w:val="20"/>
          <w:rFonts w:ascii="Times New Roman" w:hAnsi="Times New Roman" w:eastAsia="宋体" w:cs="Times New Roman"/>
        </w:rPr>
        <w:fldChar w:fldCharType="end"/>
      </w:r>
      <w:r>
        <w:rPr>
          <w:rFonts w:hint="eastAsia" w:ascii="Times New Roman" w:hAnsi="Times New Roman" w:eastAsia="宋体" w:cs="Times New Roman"/>
          <w:color w:val="auto"/>
        </w:rPr>
        <w:t>）-“网上招投标”-“供应商登录”</w:t>
      </w:r>
      <w:r>
        <w:rPr>
          <w:rFonts w:ascii="Times New Roman" w:hAnsi="Times New Roman" w:eastAsia="宋体" w:cs="Times New Roman"/>
          <w:color w:val="auto"/>
        </w:rPr>
        <w:t>下载招标文件。</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供应商注册及</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领取办法：</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（2）天津市政府采购网注册：登录天津市政府采购网（</w:t>
      </w:r>
      <w:r>
        <w:rPr>
          <w:rFonts w:ascii="Times New Roman" w:hAnsi="Times New Roman" w:eastAsia="宋体" w:cs="Times New Roman"/>
          <w:color w:val="auto"/>
        </w:rPr>
        <w:t>http://tjgp.cz.tj.gov.cn/gys_login.jsp</w:t>
      </w:r>
      <w:r>
        <w:rPr>
          <w:rFonts w:hint="eastAsia" w:ascii="Times New Roman" w:hAnsi="Times New Roman" w:eastAsia="宋体" w:cs="Times New Roman"/>
          <w:color w:val="auto"/>
        </w:rPr>
        <w:t>）点击“申报注册”，完成网上注册。</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领取：参见天津市电子认证中心（网址：</w:t>
      </w:r>
      <w:r>
        <w:fldChar w:fldCharType="begin"/>
      </w:r>
      <w:r>
        <w:instrText xml:space="preserve"> HYPERLINK "http://www.tjca.org.cn" </w:instrText>
      </w:r>
      <w:r>
        <w:fldChar w:fldCharType="separate"/>
      </w:r>
      <w:r>
        <w:rPr>
          <w:rStyle w:val="20"/>
          <w:rFonts w:hint="eastAsia" w:ascii="Times New Roman" w:hAnsi="Times New Roman" w:eastAsia="宋体" w:cs="Times New Roman"/>
          <w:color w:val="auto"/>
        </w:rPr>
        <w:t>http://www.tjca.org.cn</w:t>
      </w:r>
      <w:r>
        <w:rPr>
          <w:rStyle w:val="20"/>
          <w:rFonts w:ascii="Times New Roman" w:hAnsi="Times New Roman" w:eastAsia="宋体" w:cs="Times New Roman"/>
          <w:color w:val="auto"/>
        </w:rPr>
        <w:fldChar w:fldCharType="end"/>
      </w:r>
      <w:r>
        <w:rPr>
          <w:rFonts w:hint="eastAsia" w:ascii="Times New Roman" w:hAnsi="Times New Roman" w:eastAsia="宋体" w:cs="Times New Roman"/>
          <w:color w:val="auto"/>
        </w:rPr>
        <w:t>，电话：022-23593752）首页-机构证书办理流程。</w:t>
      </w:r>
    </w:p>
    <w:p>
      <w:pPr>
        <w:pStyle w:val="22"/>
        <w:spacing w:line="360" w:lineRule="auto"/>
        <w:ind w:firstLine="448" w:firstLineChars="200"/>
        <w:jc w:val="both"/>
        <w:rPr>
          <w:rFonts w:ascii="Times New Roman" w:hAnsi="Times New Roman" w:eastAsia="宋体"/>
          <w:color w:val="auto"/>
        </w:rPr>
      </w:pPr>
      <w:r>
        <w:rPr>
          <w:rFonts w:hint="eastAsia" w:ascii="Times New Roman" w:hAnsi="Times New Roman" w:eastAsia="宋体" w:cs="Times New Roman"/>
          <w:color w:val="auto"/>
        </w:rPr>
        <w:t>3. 电子签章办理：登录天津市政府采购中心网（网址：http://tjgpc.zwfwb.tj.gov.cn），按照“服务指南”栏目中《供应商如何办理CA数字证书（USBKey）及电子签章制章的通知》的要求至天津市政府采购中心窗口办理电子签章，联系电话：022-24538316。</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（三）下载招标文件后如放弃投标，请于网上应答截止时间之前取消投标。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四</w:t>
      </w:r>
      <w:r>
        <w:rPr>
          <w:rFonts w:ascii="Times New Roman" w:hAnsi="Times New Roman" w:eastAsia="宋体" w:cs="Times New Roman"/>
          <w:color w:val="auto"/>
        </w:rPr>
        <w:t>）</w:t>
      </w:r>
      <w:r>
        <w:rPr>
          <w:rFonts w:hint="eastAsia" w:ascii="Times New Roman" w:hAnsi="Times New Roman" w:eastAsia="宋体" w:cs="Times New Roman"/>
          <w:color w:val="auto"/>
        </w:rPr>
        <w:t>本项目不组织</w:t>
      </w:r>
      <w:r>
        <w:rPr>
          <w:rFonts w:ascii="Times New Roman" w:hAnsi="Times New Roman" w:eastAsia="宋体" w:cs="Times New Roman"/>
          <w:color w:val="auto"/>
        </w:rPr>
        <w:t>踏勘现场和</w:t>
      </w:r>
      <w:r>
        <w:rPr>
          <w:rFonts w:hint="eastAsia" w:ascii="Times New Roman" w:hAnsi="Times New Roman" w:eastAsia="宋体" w:cs="Times New Roman"/>
          <w:color w:val="auto"/>
        </w:rPr>
        <w:t>标前答疑会。</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七、网上应答时间</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2021年</w:t>
      </w:r>
      <w:r>
        <w:rPr>
          <w:rFonts w:hint="eastAsia" w:ascii="Times New Roman" w:hAnsi="Times New Roman" w:eastAsia="宋体" w:cs="Times New Roman"/>
          <w:color w:val="auto"/>
        </w:rPr>
        <w:t>9</w:t>
      </w:r>
      <w:r>
        <w:rPr>
          <w:rFonts w:ascii="Times New Roman" w:hAnsi="Times New Roman" w:eastAsia="宋体" w:cs="Times New Roman"/>
          <w:color w:val="auto"/>
        </w:rPr>
        <w:t>月</w:t>
      </w:r>
      <w:r>
        <w:rPr>
          <w:rFonts w:hint="eastAsia" w:ascii="Times New Roman" w:hAnsi="Times New Roman" w:eastAsia="宋体" w:cs="Times New Roman"/>
          <w:color w:val="auto"/>
        </w:rPr>
        <w:t>30</w:t>
      </w:r>
      <w:r>
        <w:rPr>
          <w:rFonts w:ascii="Times New Roman" w:hAnsi="Times New Roman" w:eastAsia="宋体" w:cs="Times New Roman"/>
          <w:color w:val="auto"/>
        </w:rPr>
        <w:t>日9:00至2021年</w:t>
      </w:r>
      <w:r>
        <w:rPr>
          <w:rFonts w:hint="eastAsia" w:ascii="Times New Roman" w:hAnsi="Times New Roman" w:eastAsia="宋体" w:cs="Times New Roman"/>
          <w:color w:val="auto"/>
        </w:rPr>
        <w:t>10</w:t>
      </w:r>
      <w:r>
        <w:rPr>
          <w:rFonts w:ascii="Times New Roman" w:hAnsi="Times New Roman" w:eastAsia="宋体" w:cs="Times New Roman"/>
          <w:color w:val="auto"/>
        </w:rPr>
        <w:t>月</w:t>
      </w:r>
      <w:r>
        <w:rPr>
          <w:rFonts w:hint="eastAsia" w:ascii="Times New Roman" w:hAnsi="Times New Roman" w:eastAsia="宋体" w:cs="Times New Roman"/>
          <w:color w:val="auto"/>
        </w:rPr>
        <w:t>22</w:t>
      </w:r>
      <w:r>
        <w:rPr>
          <w:rFonts w:ascii="Times New Roman" w:hAnsi="Times New Roman" w:eastAsia="宋体" w:cs="Times New Roman"/>
          <w:color w:val="auto"/>
        </w:rPr>
        <w:t>日8:30，使用天津市电子认证中心发出的CA数字证书（USBKey）</w:t>
      </w:r>
      <w:r>
        <w:rPr>
          <w:rFonts w:hint="eastAsia" w:ascii="Times New Roman" w:hAnsi="Times New Roman" w:eastAsia="宋体" w:cs="Times New Roman"/>
          <w:color w:val="auto"/>
        </w:rPr>
        <w:t>登陆天津市政府采购中心网（网址：http://tjgpc.zwfwb.tj.gov.cn）-“网上招投标”-“供应商登录”</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八、投标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w:t>
      </w:r>
      <w:r>
        <w:rPr>
          <w:rFonts w:hint="eastAsia" w:ascii="Times New Roman" w:hAnsi="Times New Roman" w:eastAsia="宋体" w:cs="Times New Roman"/>
          <w:color w:val="auto"/>
        </w:rPr>
        <w:t>及方式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时间：2021年</w:t>
      </w:r>
      <w:r>
        <w:rPr>
          <w:rFonts w:hint="eastAsia" w:ascii="Times New Roman" w:hAnsi="Times New Roman" w:eastAsia="宋体" w:cs="Times New Roman"/>
          <w:color w:val="auto"/>
        </w:rPr>
        <w:t>10</w:t>
      </w:r>
      <w:r>
        <w:rPr>
          <w:rFonts w:ascii="Times New Roman" w:hAnsi="Times New Roman" w:eastAsia="宋体" w:cs="Times New Roman"/>
          <w:color w:val="auto"/>
        </w:rPr>
        <w:t>月</w:t>
      </w:r>
      <w:r>
        <w:rPr>
          <w:rFonts w:hint="eastAsia" w:ascii="Times New Roman" w:hAnsi="Times New Roman" w:eastAsia="宋体" w:cs="Times New Roman"/>
          <w:color w:val="auto"/>
        </w:rPr>
        <w:t>22</w:t>
      </w:r>
      <w:r>
        <w:rPr>
          <w:rFonts w:ascii="Times New Roman" w:hAnsi="Times New Roman" w:eastAsia="宋体" w:cs="Times New Roman"/>
          <w:color w:val="auto"/>
        </w:rPr>
        <w:t>日8:30</w:t>
      </w:r>
      <w:r>
        <w:rPr>
          <w:rFonts w:hint="eastAsia" w:ascii="Times New Roman" w:hAnsi="Times New Roman" w:eastAsia="宋体" w:cs="Times New Roman"/>
          <w:color w:val="auto"/>
          <w:szCs w:val="21"/>
        </w:rPr>
        <w:t>。</w:t>
      </w:r>
      <w:r>
        <w:rPr>
          <w:rFonts w:ascii="Times New Roman" w:hAnsi="Times New Roman" w:eastAsia="宋体" w:cs="Times New Roman"/>
          <w:color w:val="auto"/>
        </w:rPr>
        <w:t>投标截止时间前</w:t>
      </w:r>
      <w:r>
        <w:rPr>
          <w:rFonts w:hint="eastAsia" w:ascii="Times New Roman" w:hAnsi="Times New Roman" w:eastAsia="宋体" w:cs="Times New Roman"/>
          <w:color w:val="auto"/>
        </w:rPr>
        <w:t>提交网上应答并上传加盖投标人电子签章的PDF格式电子投标文件（以通过电子签章客户端软件winaip正确读取签章信息为准）</w:t>
      </w:r>
      <w:r>
        <w:rPr>
          <w:rFonts w:ascii="Times New Roman" w:hAnsi="Times New Roman" w:eastAsia="宋体" w:cs="Times New Roman"/>
          <w:color w:val="auto"/>
        </w:rPr>
        <w:t>方为有效投标。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（二）投标</w:t>
      </w:r>
      <w:r>
        <w:rPr>
          <w:rFonts w:hint="eastAsia" w:ascii="Times New Roman" w:hAnsi="Times New Roman" w:eastAsia="宋体" w:cs="Times New Roman"/>
          <w:color w:val="auto"/>
        </w:rPr>
        <w:t>方式</w:t>
      </w:r>
      <w:r>
        <w:rPr>
          <w:rFonts w:ascii="Times New Roman" w:hAnsi="Times New Roman" w:eastAsia="宋体" w:cs="Times New Roman"/>
          <w:color w:val="auto"/>
        </w:rPr>
        <w:t>：本项目投标采用网上电子投标方式，投标人须于投标截止时间前使用天津市电子认证中心发出的CA数字证书（USBKey）登陆</w:t>
      </w:r>
      <w:r>
        <w:rPr>
          <w:rFonts w:hint="eastAsia" w:ascii="Times New Roman" w:hAnsi="Times New Roman" w:eastAsia="宋体" w:cs="Times New Roman"/>
          <w:color w:val="auto"/>
        </w:rPr>
        <w:t>天津市政府采购中心网（网址：http://tjgpc.zwfwb.tj.gov.cn）-“网上招投标”-“供应商登录”提交网上应答并上传加盖投标人电子签章的PDF格式电子投标文件（以通过电子签章客户端软件winaip正确读取签章信息为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w:t>
      </w:r>
      <w:r>
        <w:rPr>
          <w:rFonts w:ascii="Times New Roman" w:hAnsi="Times New Roman" w:eastAsia="宋体" w:cs="Times New Roman"/>
          <w:color w:val="auto"/>
        </w:rPr>
        <w:t>、开标时间及方式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（一）开标解密时间：2021年</w:t>
      </w:r>
      <w:r>
        <w:rPr>
          <w:rFonts w:hint="eastAsia" w:ascii="Times New Roman" w:hAnsi="Times New Roman" w:eastAsia="宋体" w:cs="Times New Roman"/>
          <w:color w:val="auto"/>
        </w:rPr>
        <w:t>10</w:t>
      </w:r>
      <w:r>
        <w:rPr>
          <w:rFonts w:ascii="Times New Roman" w:hAnsi="Times New Roman" w:eastAsia="宋体" w:cs="Times New Roman"/>
          <w:color w:val="auto"/>
        </w:rPr>
        <w:t>月</w:t>
      </w:r>
      <w:r>
        <w:rPr>
          <w:rFonts w:hint="eastAsia" w:ascii="Times New Roman" w:hAnsi="Times New Roman" w:eastAsia="宋体" w:cs="Times New Roman"/>
          <w:color w:val="auto"/>
        </w:rPr>
        <w:t>22</w:t>
      </w:r>
      <w:r>
        <w:rPr>
          <w:rFonts w:ascii="Times New Roman" w:hAnsi="Times New Roman" w:eastAsia="宋体" w:cs="Times New Roman"/>
          <w:color w:val="auto"/>
        </w:rPr>
        <w:t>日8:30至9:</w:t>
      </w:r>
      <w:r>
        <w:rPr>
          <w:rFonts w:hint="eastAsia" w:ascii="Times New Roman" w:hAnsi="Times New Roman" w:eastAsia="宋体" w:cs="Times New Roman"/>
          <w:color w:val="auto"/>
        </w:rPr>
        <w:t>30</w:t>
      </w:r>
      <w:r>
        <w:rPr>
          <w:rFonts w:ascii="Times New Roman" w:hAnsi="Times New Roman" w:eastAsia="宋体" w:cs="Times New Roman"/>
          <w:color w:val="auto"/>
        </w:rPr>
        <w:t>完成开标解密的投标为有效投标。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（二）开标</w:t>
      </w:r>
      <w:r>
        <w:rPr>
          <w:rFonts w:hint="eastAsia" w:ascii="Times New Roman" w:hAnsi="Times New Roman" w:eastAsia="宋体" w:cs="Times New Roman"/>
          <w:color w:val="auto"/>
        </w:rPr>
        <w:t>解密方式</w:t>
      </w:r>
      <w:r>
        <w:rPr>
          <w:rFonts w:ascii="Times New Roman" w:hAnsi="Times New Roman" w:eastAsia="宋体" w:cs="Times New Roman"/>
          <w:color w:val="auto"/>
        </w:rPr>
        <w:t>：本项目采用网上开标方式，投标人须于</w:t>
      </w:r>
      <w:r>
        <w:rPr>
          <w:rFonts w:hint="eastAsia" w:ascii="Times New Roman" w:hAnsi="Times New Roman" w:eastAsia="宋体" w:cs="Times New Roman"/>
          <w:color w:val="auto"/>
        </w:rPr>
        <w:t>规定时间</w:t>
      </w:r>
      <w:r>
        <w:rPr>
          <w:rFonts w:ascii="Times New Roman" w:hAnsi="Times New Roman" w:eastAsia="宋体" w:cs="Times New Roman"/>
          <w:color w:val="auto"/>
        </w:rPr>
        <w:t>内使用天津市电子认证中心发出的CA数字证书（USBKey）</w:t>
      </w:r>
      <w:r>
        <w:rPr>
          <w:rFonts w:hint="eastAsia" w:ascii="Times New Roman" w:hAnsi="Times New Roman" w:eastAsia="宋体" w:cs="Times New Roman"/>
          <w:color w:val="auto"/>
        </w:rPr>
        <w:t>登陆天津市政府采购中心网（网址：http://tjgpc.zwfwb.tj.gov.cn）-“网上招投标”-“供应商登录”</w:t>
      </w:r>
      <w:r>
        <w:rPr>
          <w:rFonts w:ascii="Times New Roman" w:hAnsi="Times New Roman" w:eastAsia="宋体" w:cs="Times New Roman"/>
          <w:color w:val="auto"/>
        </w:rPr>
        <w:t>完成开标解密。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（三）网上开标公示时间：2021年</w:t>
      </w:r>
      <w:r>
        <w:rPr>
          <w:rFonts w:hint="eastAsia" w:ascii="Times New Roman" w:hAnsi="Times New Roman" w:eastAsia="宋体" w:cs="Times New Roman"/>
          <w:color w:val="auto"/>
        </w:rPr>
        <w:t>10</w:t>
      </w:r>
      <w:r>
        <w:rPr>
          <w:rFonts w:ascii="Times New Roman" w:hAnsi="Times New Roman" w:eastAsia="宋体" w:cs="Times New Roman"/>
          <w:color w:val="auto"/>
        </w:rPr>
        <w:t>月</w:t>
      </w:r>
      <w:r>
        <w:rPr>
          <w:rFonts w:hint="eastAsia" w:ascii="Times New Roman" w:hAnsi="Times New Roman" w:eastAsia="宋体" w:cs="Times New Roman"/>
          <w:color w:val="auto"/>
        </w:rPr>
        <w:t>22</w:t>
      </w:r>
      <w:r>
        <w:rPr>
          <w:rFonts w:ascii="Times New Roman" w:hAnsi="Times New Roman" w:eastAsia="宋体" w:cs="Times New Roman"/>
          <w:color w:val="auto"/>
        </w:rPr>
        <w:t>日9:</w:t>
      </w:r>
      <w:r>
        <w:rPr>
          <w:rFonts w:hint="eastAsia" w:ascii="Times New Roman" w:hAnsi="Times New Roman" w:eastAsia="宋体" w:cs="Times New Roman"/>
          <w:color w:val="auto"/>
        </w:rPr>
        <w:t>30</w:t>
      </w:r>
      <w:r>
        <w:rPr>
          <w:rFonts w:ascii="Times New Roman" w:hAnsi="Times New Roman" w:eastAsia="宋体" w:cs="Times New Roman"/>
          <w:color w:val="auto"/>
        </w:rPr>
        <w:t>至12:00。</w:t>
      </w:r>
      <w:r>
        <w:rPr>
          <w:rFonts w:hint="eastAsia" w:ascii="Times New Roman" w:hAnsi="Times New Roman" w:eastAsia="宋体" w:cs="Times New Roman"/>
          <w:color w:val="auto"/>
        </w:rPr>
        <w:t>投标人可在规定时间内使用天津市电子认证中心发出的CA数字证书（USBKey）登陆天津市政府采购中心网（网址：http://tjgpc.zwfwb.tj.gov.cn）-“网上招投标”-“供应商登录”自行查看开标信息。</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、采购代理机构名称、地址</w:t>
      </w:r>
      <w:r>
        <w:rPr>
          <w:rFonts w:hint="eastAsia" w:ascii="Times New Roman" w:hAnsi="Times New Roman" w:eastAsia="宋体" w:cs="Times New Roman"/>
          <w:color w:val="auto"/>
        </w:rPr>
        <w:t>、</w:t>
      </w:r>
      <w:r>
        <w:rPr>
          <w:rFonts w:ascii="Times New Roman" w:hAnsi="Times New Roman" w:eastAsia="宋体" w:cs="Times New Roman"/>
          <w:color w:val="auto"/>
        </w:rPr>
        <w:t>联系人及联系方式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采购代理机构名称：天津市政府采购中心</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w:t>
      </w:r>
      <w:r>
        <w:rPr>
          <w:rFonts w:hint="eastAsia" w:ascii="Times New Roman" w:hAnsi="Times New Roman" w:eastAsia="宋体" w:cs="Times New Roman"/>
          <w:color w:val="auto"/>
        </w:rPr>
        <w:t>（邮编</w:t>
      </w:r>
      <w:r>
        <w:rPr>
          <w:rFonts w:ascii="Times New Roman" w:hAnsi="Times New Roman" w:eastAsia="宋体" w:cs="Times New Roman"/>
          <w:color w:val="auto"/>
        </w:rPr>
        <w:t>：300161</w:t>
      </w:r>
      <w:r>
        <w:rPr>
          <w:rFonts w:hint="eastAsia" w:ascii="Times New Roman" w:hAnsi="Times New Roman" w:eastAsia="宋体" w:cs="Times New Roman"/>
          <w:color w:val="auto"/>
        </w:rPr>
        <w:t>）</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w:t>
      </w:r>
      <w:r>
        <w:rPr>
          <w:rFonts w:ascii="Times New Roman" w:hAnsi="Times New Roman" w:eastAsia="宋体" w:cs="Times New Roman"/>
          <w:color w:val="auto"/>
        </w:rPr>
        <w:t xml:space="preserve">联系人： </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网址：http://tjgpc.zwfwb.tj.gov.cn</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 供应商注册、电子签章办理咨询：022-24538316</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采购文件咨询：</w:t>
      </w:r>
      <w:r>
        <w:rPr>
          <w:rFonts w:ascii="Times New Roman" w:hAnsi="Times New Roman" w:eastAsia="宋体" w:cs="Times New Roman"/>
          <w:color w:val="auto"/>
        </w:rPr>
        <w:t>022-2453</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3. </w:t>
      </w:r>
      <w:r>
        <w:rPr>
          <w:rFonts w:hint="eastAsia" w:ascii="Times New Roman" w:hAnsi="Times New Roman" w:eastAsia="宋体" w:cs="Times New Roman"/>
          <w:color w:val="auto"/>
        </w:rPr>
        <w:t>网上应答操作咨询：</w:t>
      </w:r>
      <w:r>
        <w:rPr>
          <w:rFonts w:ascii="Times New Roman" w:hAnsi="Times New Roman" w:eastAsia="宋体" w:cs="Times New Roman"/>
          <w:color w:val="auto"/>
        </w:rPr>
        <w:t>022-24538176</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4. </w:t>
      </w:r>
      <w:r>
        <w:rPr>
          <w:rFonts w:hint="eastAsia" w:ascii="Times New Roman" w:hAnsi="Times New Roman" w:eastAsia="宋体" w:cs="Times New Roman"/>
          <w:color w:val="auto"/>
        </w:rPr>
        <w:t>解密操作咨询：</w:t>
      </w:r>
      <w:r>
        <w:rPr>
          <w:rFonts w:ascii="Times New Roman" w:hAnsi="Times New Roman" w:eastAsia="宋体" w:cs="Times New Roman"/>
          <w:color w:val="auto"/>
        </w:rPr>
        <w:t>022-24538309</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天津市生态环境监测中心</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（二）采购人地址：天津市南开区</w:t>
      </w:r>
      <w:r>
        <w:rPr>
          <w:rFonts w:hint="eastAsia" w:ascii="Times New Roman" w:hAnsi="Times New Roman" w:eastAsia="宋体" w:cs="Times New Roman"/>
          <w:color w:val="auto"/>
        </w:rPr>
        <w:t>复康路19号</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辛小毛</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rPr>
        <w:t>022-</w:t>
      </w:r>
      <w:r>
        <w:rPr>
          <w:rFonts w:ascii="Times New Roman" w:hAnsi="Times New Roman" w:eastAsia="宋体" w:cs="Times New Roman"/>
          <w:color w:val="auto"/>
        </w:rPr>
        <w:t>87671667</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联系部门：天津市生态环境监测中心</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w:t>
      </w:r>
      <w:r>
        <w:rPr>
          <w:rFonts w:ascii="Times New Roman" w:hAnsi="Times New Roman" w:eastAsia="宋体" w:cs="Times New Roman"/>
          <w:color w:val="auto"/>
        </w:rPr>
        <w:t>天津市南开区</w:t>
      </w:r>
      <w:r>
        <w:rPr>
          <w:rFonts w:hint="eastAsia" w:ascii="Times New Roman" w:hAnsi="Times New Roman" w:eastAsia="宋体" w:cs="Times New Roman"/>
          <w:color w:val="auto"/>
        </w:rPr>
        <w:t>复康路19号</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人：辛小毛</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联系方式：022-</w:t>
      </w:r>
      <w:r>
        <w:rPr>
          <w:rFonts w:ascii="Times New Roman" w:hAnsi="Times New Roman" w:eastAsia="宋体" w:cs="Times New Roman"/>
          <w:color w:val="auto"/>
        </w:rPr>
        <w:t>87671667</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招标公告的公告期限为5个工作日。</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本项目按以下比例向中标供应商收取招标代理服务费</w:t>
      </w:r>
      <w:r>
        <w:rPr>
          <w:rFonts w:hint="eastAsia" w:ascii="Times New Roman" w:hAnsi="Times New Roman" w:eastAsia="宋体" w:cs="Times New Roman"/>
          <w:color w:val="auto"/>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sz w:val="24"/>
              </w:rPr>
            </w:pPr>
            <w:r>
              <w:rPr>
                <w:sz w:val="24"/>
              </w:rPr>
              <w:t>中标金额</w:t>
            </w:r>
            <w:r>
              <w:rPr>
                <w:rFonts w:hint="eastAsia"/>
                <w:sz w:val="24"/>
              </w:rPr>
              <w:t>（万元）</w:t>
            </w:r>
          </w:p>
        </w:tc>
        <w:tc>
          <w:tcPr>
            <w:tcW w:w="3657" w:type="dxa"/>
            <w:vAlign w:val="center"/>
          </w:tcPr>
          <w:p>
            <w:pPr>
              <w:tabs>
                <w:tab w:val="left" w:pos="750"/>
                <w:tab w:val="left" w:pos="840"/>
              </w:tabs>
              <w:adjustRightInd w:val="0"/>
              <w:snapToGrid w:val="0"/>
              <w:jc w:val="center"/>
              <w:rPr>
                <w:sz w:val="24"/>
              </w:rPr>
            </w:pPr>
            <w:r>
              <w:rPr>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sz w:val="24"/>
              </w:rPr>
            </w:pPr>
            <w:r>
              <w:rPr>
                <w:sz w:val="24"/>
              </w:rPr>
              <w:t>100以下</w:t>
            </w:r>
          </w:p>
        </w:tc>
        <w:tc>
          <w:tcPr>
            <w:tcW w:w="3657" w:type="dxa"/>
            <w:vAlign w:val="center"/>
          </w:tcPr>
          <w:p>
            <w:pPr>
              <w:tabs>
                <w:tab w:val="left" w:pos="750"/>
                <w:tab w:val="left" w:pos="840"/>
              </w:tabs>
              <w:adjustRightInd w:val="0"/>
              <w:snapToGrid w:val="0"/>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sz w:val="24"/>
              </w:rPr>
            </w:pPr>
            <w:r>
              <w:rPr>
                <w:sz w:val="24"/>
              </w:rPr>
              <w:t>100-500</w:t>
            </w:r>
          </w:p>
        </w:tc>
        <w:tc>
          <w:tcPr>
            <w:tcW w:w="3657" w:type="dxa"/>
            <w:vAlign w:val="center"/>
          </w:tcPr>
          <w:p>
            <w:pPr>
              <w:tabs>
                <w:tab w:val="left" w:pos="750"/>
                <w:tab w:val="left" w:pos="840"/>
              </w:tabs>
              <w:adjustRightInd w:val="0"/>
              <w:snapToGrid w:val="0"/>
              <w:jc w:val="center"/>
              <w:rPr>
                <w:sz w:val="24"/>
              </w:rPr>
            </w:pPr>
            <w:r>
              <w:rPr>
                <w:rFonts w:hint="eastAsia"/>
                <w:sz w:val="24"/>
              </w:rPr>
              <w:t>0.8</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sz w:val="24"/>
              </w:rPr>
            </w:pPr>
            <w:r>
              <w:rPr>
                <w:sz w:val="24"/>
              </w:rPr>
              <w:t>500-1000</w:t>
            </w:r>
          </w:p>
        </w:tc>
        <w:tc>
          <w:tcPr>
            <w:tcW w:w="3657" w:type="dxa"/>
            <w:vAlign w:val="center"/>
          </w:tcPr>
          <w:p>
            <w:pPr>
              <w:tabs>
                <w:tab w:val="left" w:pos="750"/>
                <w:tab w:val="left" w:pos="840"/>
              </w:tabs>
              <w:adjustRightInd w:val="0"/>
              <w:snapToGrid w:val="0"/>
              <w:jc w:val="center"/>
              <w:rPr>
                <w:sz w:val="24"/>
              </w:rPr>
            </w:pPr>
            <w:r>
              <w:rPr>
                <w:sz w:val="24"/>
              </w:rPr>
              <w:t>0.</w:t>
            </w:r>
            <w:r>
              <w:rPr>
                <w:rFonts w:hint="eastAsia"/>
                <w:sz w:val="24"/>
              </w:rPr>
              <w:t>45</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sz w:val="24"/>
              </w:rPr>
            </w:pPr>
            <w:r>
              <w:rPr>
                <w:sz w:val="24"/>
              </w:rPr>
              <w:t>1000</w:t>
            </w:r>
            <w:r>
              <w:rPr>
                <w:rFonts w:hint="eastAsia"/>
                <w:sz w:val="24"/>
              </w:rPr>
              <w:t>-5000</w:t>
            </w:r>
          </w:p>
        </w:tc>
        <w:tc>
          <w:tcPr>
            <w:tcW w:w="3657" w:type="dxa"/>
            <w:vAlign w:val="center"/>
          </w:tcPr>
          <w:p>
            <w:pPr>
              <w:tabs>
                <w:tab w:val="left" w:pos="750"/>
                <w:tab w:val="left" w:pos="840"/>
              </w:tabs>
              <w:adjustRightInd w:val="0"/>
              <w:snapToGrid w:val="0"/>
              <w:jc w:val="center"/>
              <w:rPr>
                <w:sz w:val="24"/>
              </w:rPr>
            </w:pPr>
            <w:r>
              <w:rPr>
                <w:rFonts w:hint="eastAsia"/>
                <w:sz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sz w:val="24"/>
              </w:rPr>
            </w:pPr>
            <w:r>
              <w:rPr>
                <w:rFonts w:hint="eastAsia"/>
                <w:sz w:val="24"/>
              </w:rPr>
              <w:t>5000-10000</w:t>
            </w:r>
          </w:p>
        </w:tc>
        <w:tc>
          <w:tcPr>
            <w:tcW w:w="3657" w:type="dxa"/>
            <w:vAlign w:val="center"/>
          </w:tcPr>
          <w:p>
            <w:pPr>
              <w:tabs>
                <w:tab w:val="left" w:pos="750"/>
                <w:tab w:val="left" w:pos="840"/>
              </w:tabs>
              <w:adjustRightInd w:val="0"/>
              <w:snapToGrid w:val="0"/>
              <w:jc w:val="center"/>
              <w:rPr>
                <w:sz w:val="24"/>
              </w:rPr>
            </w:pPr>
            <w:r>
              <w:rPr>
                <w:rFonts w:hint="eastAsia"/>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sz w:val="24"/>
              </w:rPr>
            </w:pPr>
            <w:r>
              <w:rPr>
                <w:rFonts w:hint="eastAsia"/>
                <w:sz w:val="24"/>
              </w:rPr>
              <w:t>10000-100000</w:t>
            </w:r>
          </w:p>
        </w:tc>
        <w:tc>
          <w:tcPr>
            <w:tcW w:w="3657" w:type="dxa"/>
            <w:vAlign w:val="center"/>
          </w:tcPr>
          <w:p>
            <w:pPr>
              <w:tabs>
                <w:tab w:val="left" w:pos="750"/>
                <w:tab w:val="left" w:pos="840"/>
              </w:tabs>
              <w:adjustRightInd w:val="0"/>
              <w:snapToGrid w:val="0"/>
              <w:jc w:val="center"/>
              <w:rPr>
                <w:sz w:val="24"/>
              </w:rPr>
            </w:pPr>
            <w:r>
              <w:rPr>
                <w:rFonts w:hint="eastAsia"/>
                <w:sz w:val="24"/>
              </w:rPr>
              <w:t>0.05%</w:t>
            </w:r>
          </w:p>
        </w:tc>
      </w:tr>
    </w:tbl>
    <w:p>
      <w:pPr>
        <w:tabs>
          <w:tab w:val="left" w:pos="700"/>
        </w:tabs>
        <w:autoSpaceDE w:val="0"/>
        <w:autoSpaceDN w:val="0"/>
        <w:adjustRightInd w:val="0"/>
        <w:spacing w:line="360" w:lineRule="auto"/>
        <w:ind w:firstLine="448" w:firstLineChars="200"/>
        <w:rPr>
          <w:sz w:val="24"/>
          <w:lang w:val="zh-CN"/>
        </w:rPr>
      </w:pPr>
      <w:r>
        <w:rPr>
          <w:sz w:val="24"/>
          <w:lang w:val="zh-CN"/>
        </w:rPr>
        <w:t>服务费按差额定率累进法计算</w:t>
      </w:r>
      <w:r>
        <w:rPr>
          <w:rFonts w:hint="eastAsia"/>
          <w:sz w:val="24"/>
          <w:lang w:val="zh-CN"/>
        </w:rPr>
        <w:t>，向下取整，精确到元。</w:t>
      </w:r>
      <w:r>
        <w:rPr>
          <w:sz w:val="24"/>
          <w:lang w:val="zh-CN"/>
        </w:rPr>
        <w:t>例如</w:t>
      </w:r>
      <w:r>
        <w:rPr>
          <w:sz w:val="24"/>
        </w:rPr>
        <w:t>中标</w:t>
      </w:r>
      <w:r>
        <w:rPr>
          <w:sz w:val="24"/>
          <w:lang w:val="zh-CN"/>
        </w:rPr>
        <w:t>金额为680</w:t>
      </w:r>
      <w:r>
        <w:rPr>
          <w:rFonts w:hint="eastAsia"/>
          <w:sz w:val="24"/>
          <w:lang w:val="zh-CN"/>
        </w:rPr>
        <w:t>5000</w:t>
      </w:r>
      <w:r>
        <w:rPr>
          <w:sz w:val="24"/>
          <w:lang w:val="zh-CN"/>
        </w:rPr>
        <w:t>元，服务费</w:t>
      </w:r>
      <w:r>
        <w:rPr>
          <w:rFonts w:hint="eastAsia"/>
          <w:sz w:val="24"/>
          <w:lang w:val="zh-CN"/>
        </w:rPr>
        <w:t>=</w:t>
      </w:r>
      <w:r>
        <w:rPr>
          <w:sz w:val="24"/>
          <w:lang w:val="zh-CN"/>
        </w:rPr>
        <w:t>100</w:t>
      </w:r>
      <w:r>
        <w:rPr>
          <w:rFonts w:hint="eastAsia"/>
          <w:sz w:val="24"/>
          <w:lang w:val="zh-CN"/>
        </w:rPr>
        <w:t>0000</w:t>
      </w:r>
      <w:r>
        <w:rPr>
          <w:sz w:val="24"/>
          <w:lang w:val="zh-CN"/>
        </w:rPr>
        <w:t>×1%+</w:t>
      </w:r>
      <w:r>
        <w:rPr>
          <w:rFonts w:hint="eastAsia"/>
          <w:sz w:val="24"/>
          <w:lang w:val="zh-CN"/>
        </w:rPr>
        <w:t>（</w:t>
      </w:r>
      <w:r>
        <w:rPr>
          <w:sz w:val="24"/>
          <w:lang w:val="zh-CN"/>
        </w:rPr>
        <w:t>500</w:t>
      </w:r>
      <w:r>
        <w:rPr>
          <w:rFonts w:hint="eastAsia"/>
          <w:sz w:val="24"/>
          <w:lang w:val="zh-CN"/>
        </w:rPr>
        <w:t>0000</w:t>
      </w:r>
      <w:r>
        <w:rPr>
          <w:sz w:val="24"/>
          <w:lang w:val="zh-CN"/>
        </w:rPr>
        <w:t>-100</w:t>
      </w:r>
      <w:r>
        <w:rPr>
          <w:rFonts w:hint="eastAsia"/>
          <w:sz w:val="24"/>
          <w:lang w:val="zh-CN"/>
        </w:rPr>
        <w:t>0000）</w:t>
      </w:r>
      <w:r>
        <w:rPr>
          <w:sz w:val="24"/>
          <w:lang w:val="zh-CN"/>
        </w:rPr>
        <w:t>×</w:t>
      </w:r>
      <w:r>
        <w:rPr>
          <w:rFonts w:hint="eastAsia"/>
          <w:sz w:val="24"/>
          <w:lang w:val="zh-CN"/>
        </w:rPr>
        <w:t>0.8</w:t>
      </w:r>
      <w:r>
        <w:rPr>
          <w:sz w:val="24"/>
          <w:lang w:val="zh-CN"/>
        </w:rPr>
        <w:t>%+</w:t>
      </w:r>
      <w:r>
        <w:rPr>
          <w:rFonts w:hint="eastAsia"/>
          <w:sz w:val="24"/>
          <w:lang w:val="zh-CN"/>
        </w:rPr>
        <w:t>（</w:t>
      </w:r>
      <w:r>
        <w:rPr>
          <w:sz w:val="24"/>
          <w:lang w:val="zh-CN"/>
        </w:rPr>
        <w:t>680</w:t>
      </w:r>
      <w:r>
        <w:rPr>
          <w:rFonts w:hint="eastAsia"/>
          <w:sz w:val="24"/>
          <w:lang w:val="zh-CN"/>
        </w:rPr>
        <w:t>5000</w:t>
      </w:r>
      <w:r>
        <w:rPr>
          <w:sz w:val="24"/>
          <w:lang w:val="zh-CN"/>
        </w:rPr>
        <w:t>-500</w:t>
      </w:r>
      <w:r>
        <w:rPr>
          <w:rFonts w:hint="eastAsia"/>
          <w:sz w:val="24"/>
          <w:lang w:val="zh-CN"/>
        </w:rPr>
        <w:t>0000）</w:t>
      </w:r>
      <w:r>
        <w:rPr>
          <w:sz w:val="24"/>
          <w:lang w:val="zh-CN"/>
        </w:rPr>
        <w:t>×0.</w:t>
      </w:r>
      <w:r>
        <w:rPr>
          <w:rFonts w:hint="eastAsia"/>
          <w:sz w:val="24"/>
          <w:lang w:val="zh-CN"/>
        </w:rPr>
        <w:t>45</w:t>
      </w:r>
      <w:r>
        <w:rPr>
          <w:sz w:val="24"/>
          <w:lang w:val="zh-CN"/>
        </w:rPr>
        <w:t>%=</w:t>
      </w:r>
      <w:r>
        <w:rPr>
          <w:rFonts w:hint="eastAsia"/>
          <w:sz w:val="24"/>
          <w:lang w:val="zh-CN"/>
        </w:rPr>
        <w:t>50122.5</w:t>
      </w:r>
      <w:r>
        <w:rPr>
          <w:sz w:val="24"/>
          <w:lang w:val="zh-CN"/>
        </w:rPr>
        <w:t>元，服务费</w:t>
      </w:r>
      <w:r>
        <w:rPr>
          <w:rFonts w:hint="eastAsia"/>
          <w:sz w:val="24"/>
          <w:lang w:val="zh-CN"/>
        </w:rPr>
        <w:t>缴纳50122元。</w:t>
      </w:r>
      <w:r>
        <w:rPr>
          <w:sz w:val="24"/>
          <w:lang w:val="zh-CN"/>
        </w:rPr>
        <w:t>其中中标金额以《中标通知书》为准。</w:t>
      </w:r>
    </w:p>
    <w:p>
      <w:pPr>
        <w:tabs>
          <w:tab w:val="left" w:pos="700"/>
        </w:tabs>
        <w:autoSpaceDE w:val="0"/>
        <w:autoSpaceDN w:val="0"/>
        <w:adjustRightInd w:val="0"/>
        <w:spacing w:line="360" w:lineRule="auto"/>
        <w:ind w:firstLine="448" w:firstLineChars="200"/>
        <w:rPr>
          <w:sz w:val="24"/>
          <w:szCs w:val="24"/>
          <w:lang w:val="zh-CN"/>
        </w:rPr>
      </w:pPr>
      <w:r>
        <w:rPr>
          <w:rFonts w:hint="eastAsia"/>
          <w:sz w:val="24"/>
          <w:szCs w:val="24"/>
        </w:rPr>
        <w:t>中标供应商应于中标公告发布之日起5个工作日内缴纳</w:t>
      </w:r>
      <w:r>
        <w:rPr>
          <w:rFonts w:hint="eastAsia"/>
          <w:sz w:val="24"/>
          <w:szCs w:val="24"/>
          <w:lang w:val="zh-CN"/>
        </w:rPr>
        <w:t>招标代理服务费，缴费单位名称须与投标单位名称一致，缴费时请注明项目编号及中标包号。</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名        称：天津市公共资源交易中心</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 xml:space="preserve">开户行及账号：中国建设银行股份有限公司天津明华支行 </w:t>
      </w:r>
    </w:p>
    <w:p>
      <w:pPr>
        <w:pStyle w:val="22"/>
        <w:spacing w:line="360" w:lineRule="auto"/>
        <w:ind w:firstLine="2009" w:firstLineChars="897"/>
        <w:rPr>
          <w:rFonts w:ascii="Times New Roman" w:hAnsi="Times New Roman" w:eastAsia="宋体" w:cs="Times New Roman"/>
          <w:color w:val="auto"/>
        </w:rPr>
      </w:pPr>
      <w:r>
        <w:rPr>
          <w:rFonts w:ascii="Times New Roman" w:hAnsi="Times New Roman" w:eastAsia="宋体" w:cs="Times New Roman"/>
          <w:color w:val="auto"/>
        </w:rPr>
        <w:t>1205 0162 4900 0000 0675</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银行联行号：105110039436</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纳税人识别号：1212 0000 MB1E 44809C</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地址：天津市河东区红星路79号</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缴费及开票咨询电话：022-24532012</w:t>
      </w:r>
    </w:p>
    <w:p>
      <w:pPr>
        <w:pStyle w:val="22"/>
        <w:spacing w:line="360" w:lineRule="auto"/>
        <w:jc w:val="both"/>
        <w:rPr>
          <w:rFonts w:ascii="Times New Roman" w:hAnsi="Times New Roman" w:eastAsia="宋体" w:cs="Times New Roman"/>
          <w:color w:val="auto"/>
        </w:rPr>
      </w:pPr>
    </w:p>
    <w:p>
      <w:pPr>
        <w:pStyle w:val="22"/>
        <w:spacing w:line="360" w:lineRule="auto"/>
        <w:jc w:val="right"/>
        <w:rPr>
          <w:b/>
          <w:bCs/>
          <w:color w:val="auto"/>
          <w:kern w:val="28"/>
          <w:sz w:val="32"/>
          <w:szCs w:val="32"/>
        </w:rPr>
      </w:pPr>
      <w:r>
        <w:rPr>
          <w:rFonts w:ascii="Times New Roman" w:hAnsi="Times New Roman" w:eastAsia="宋体" w:cs="Times New Roman"/>
          <w:color w:val="auto"/>
        </w:rPr>
        <w:t>2021年</w:t>
      </w:r>
      <w:r>
        <w:rPr>
          <w:rFonts w:hint="eastAsia" w:ascii="Times New Roman" w:hAnsi="Times New Roman" w:eastAsia="宋体" w:cs="Times New Roman"/>
          <w:color w:val="auto"/>
        </w:rPr>
        <w:t>9</w:t>
      </w:r>
      <w:r>
        <w:rPr>
          <w:rFonts w:ascii="Times New Roman" w:hAnsi="Times New Roman" w:eastAsia="宋体" w:cs="Times New Roman"/>
          <w:color w:val="auto"/>
        </w:rPr>
        <w:t>月</w:t>
      </w:r>
      <w:r>
        <w:rPr>
          <w:rFonts w:hint="eastAsia" w:ascii="Times New Roman" w:hAnsi="Times New Roman" w:eastAsia="宋体" w:cs="Times New Roman"/>
          <w:color w:val="auto"/>
        </w:rPr>
        <w:t>30</w:t>
      </w:r>
      <w:r>
        <w:rPr>
          <w:rFonts w:ascii="Times New Roman" w:hAnsi="Times New Roman" w:eastAsia="宋体" w:cs="Times New Roman"/>
          <w:color w:val="auto"/>
        </w:rPr>
        <w:t>日</w:t>
      </w:r>
    </w:p>
    <w:p>
      <w:pPr>
        <w:widowControl/>
        <w:jc w:val="left"/>
        <w:rPr>
          <w:b/>
          <w:bCs/>
          <w:kern w:val="28"/>
          <w:sz w:val="32"/>
          <w:szCs w:val="32"/>
          <w:lang w:val="zh-CN" w:eastAsia="zh-CN"/>
        </w:rPr>
      </w:pPr>
      <w:r>
        <w:br w:type="page"/>
      </w:r>
    </w:p>
    <w:p>
      <w:pPr>
        <w:pStyle w:val="13"/>
        <w:rPr>
          <w:rFonts w:ascii="Times New Roman" w:hAnsi="Times New Roman"/>
        </w:rPr>
      </w:pPr>
      <w:r>
        <w:rPr>
          <w:rFonts w:ascii="Times New Roman" w:hAnsi="Times New Roman"/>
        </w:rPr>
        <w:t>第</w:t>
      </w:r>
      <w:r>
        <w:rPr>
          <w:rFonts w:ascii="Times New Roman" w:hAnsi="Times New Roman"/>
          <w:lang w:eastAsia="zh-CN"/>
        </w:rPr>
        <w:t>二</w:t>
      </w:r>
      <w:r>
        <w:rPr>
          <w:rFonts w:ascii="Times New Roman" w:hAnsi="Times New Roman"/>
        </w:rPr>
        <w:t>部分  招标项目要求</w:t>
      </w:r>
      <w:bookmarkEnd w:id="3"/>
    </w:p>
    <w:p>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pPr>
        <w:autoSpaceDE w:val="0"/>
        <w:autoSpaceDN w:val="0"/>
        <w:adjustRightInd w:val="0"/>
        <w:spacing w:line="360" w:lineRule="auto"/>
        <w:ind w:firstLine="448" w:firstLineChars="200"/>
        <w:rPr>
          <w:sz w:val="24"/>
        </w:rPr>
      </w:pPr>
      <w:r>
        <w:rPr>
          <w:rFonts w:eastAsia="......."/>
          <w:kern w:val="0"/>
          <w:sz w:val="24"/>
          <w:szCs w:val="24"/>
        </w:rPr>
        <w:t>（一）</w:t>
      </w:r>
      <w:r>
        <w:rPr>
          <w:sz w:val="24"/>
        </w:rPr>
        <w:t>报价要求</w:t>
      </w:r>
    </w:p>
    <w:p>
      <w:pPr>
        <w:autoSpaceDE w:val="0"/>
        <w:autoSpaceDN w:val="0"/>
        <w:adjustRightInd w:val="0"/>
        <w:spacing w:line="360" w:lineRule="auto"/>
        <w:ind w:firstLine="448" w:firstLineChars="200"/>
        <w:rPr>
          <w:sz w:val="24"/>
        </w:rPr>
      </w:pPr>
      <w:r>
        <w:rPr>
          <w:sz w:val="24"/>
        </w:rPr>
        <w:t>1. 投标报价以人民币填列。</w:t>
      </w:r>
    </w:p>
    <w:p>
      <w:pPr>
        <w:autoSpaceDE w:val="0"/>
        <w:autoSpaceDN w:val="0"/>
        <w:adjustRightInd w:val="0"/>
        <w:spacing w:line="360" w:lineRule="auto"/>
        <w:ind w:firstLine="448" w:firstLineChars="200"/>
        <w:rPr>
          <w:sz w:val="24"/>
        </w:rPr>
      </w:pPr>
      <w:r>
        <w:rPr>
          <w:sz w:val="24"/>
        </w:rPr>
        <w:t>2. 投标人的报价应包括：人员费用、服务费用、材料费用等为完成招标文件规定的一切工作所需的全部费用。投标人所报价格应为最终优惠价格。</w:t>
      </w:r>
    </w:p>
    <w:p>
      <w:pPr>
        <w:spacing w:line="360" w:lineRule="auto"/>
        <w:ind w:firstLine="448" w:firstLineChars="200"/>
        <w:rPr>
          <w:kern w:val="0"/>
          <w:sz w:val="24"/>
          <w:szCs w:val="24"/>
        </w:rPr>
      </w:pPr>
      <w:r>
        <w:rPr>
          <w:rFonts w:hint="eastAsia"/>
          <w:kern w:val="0"/>
          <w:sz w:val="24"/>
          <w:szCs w:val="24"/>
        </w:rPr>
        <w:t xml:space="preserve">3. </w:t>
      </w:r>
      <w:r>
        <w:rPr>
          <w:sz w:val="24"/>
        </w:rPr>
        <w:t>验收相关费用由投标人负责。</w:t>
      </w:r>
    </w:p>
    <w:p>
      <w:pPr>
        <w:autoSpaceDE w:val="0"/>
        <w:autoSpaceDN w:val="0"/>
        <w:adjustRightInd w:val="0"/>
        <w:spacing w:line="360" w:lineRule="auto"/>
        <w:ind w:firstLine="448" w:firstLineChars="200"/>
        <w:rPr>
          <w:sz w:val="24"/>
        </w:rPr>
      </w:pPr>
      <w:r>
        <w:rPr>
          <w:sz w:val="24"/>
        </w:rPr>
        <w:t>（二）服务要求</w:t>
      </w:r>
    </w:p>
    <w:p>
      <w:pPr>
        <w:autoSpaceDE w:val="0"/>
        <w:autoSpaceDN w:val="0"/>
        <w:adjustRightInd w:val="0"/>
        <w:spacing w:line="360" w:lineRule="auto"/>
        <w:ind w:firstLine="448" w:firstLineChars="200"/>
        <w:rPr>
          <w:sz w:val="24"/>
        </w:rPr>
      </w:pPr>
      <w:r>
        <w:rPr>
          <w:rFonts w:hint="eastAsia"/>
          <w:sz w:val="24"/>
        </w:rPr>
        <w:t>1、</w:t>
      </w:r>
      <w:r>
        <w:rPr>
          <w:sz w:val="24"/>
        </w:rPr>
        <w:t>投标人提供详细的服务方案。</w:t>
      </w:r>
    </w:p>
    <w:p>
      <w:pPr>
        <w:autoSpaceDE w:val="0"/>
        <w:autoSpaceDN w:val="0"/>
        <w:adjustRightInd w:val="0"/>
        <w:spacing w:line="360" w:lineRule="auto"/>
        <w:ind w:firstLine="448" w:firstLineChars="200"/>
        <w:rPr>
          <w:sz w:val="24"/>
        </w:rPr>
      </w:pPr>
      <w:r>
        <w:rPr>
          <w:rFonts w:hint="eastAsia"/>
          <w:sz w:val="24"/>
        </w:rPr>
        <w:t>2、投标人须具有履行合同所必须的设备和专业技术能力.</w:t>
      </w:r>
    </w:p>
    <w:p>
      <w:pPr>
        <w:autoSpaceDE w:val="0"/>
        <w:autoSpaceDN w:val="0"/>
        <w:adjustRightInd w:val="0"/>
        <w:spacing w:line="360" w:lineRule="auto"/>
        <w:ind w:firstLine="448" w:firstLineChars="200"/>
        <w:rPr>
          <w:sz w:val="24"/>
        </w:rPr>
      </w:pPr>
      <w:r>
        <w:rPr>
          <w:rFonts w:hint="eastAsia"/>
          <w:sz w:val="24"/>
        </w:rPr>
        <w:t>3、指定项目负责人，针对出现的故障，须1小时内做出响应，2小时内排除故障；如确需现场解决，则需在4小时内赶到现场，并在24小时内排除故障。</w:t>
      </w:r>
    </w:p>
    <w:p>
      <w:pPr>
        <w:autoSpaceDE w:val="0"/>
        <w:autoSpaceDN w:val="0"/>
        <w:adjustRightInd w:val="0"/>
        <w:spacing w:line="360" w:lineRule="auto"/>
        <w:ind w:firstLine="448" w:firstLineChars="200"/>
        <w:rPr>
          <w:sz w:val="24"/>
        </w:rPr>
      </w:pPr>
      <w:r>
        <w:rPr>
          <w:rFonts w:hint="eastAsia"/>
          <w:sz w:val="24"/>
        </w:rPr>
        <w:t>4、各系统数据库做好数据备份工作，保证任何情况下不发生监测数据丢失情况。</w:t>
      </w:r>
    </w:p>
    <w:p>
      <w:pPr>
        <w:autoSpaceDE w:val="0"/>
        <w:autoSpaceDN w:val="0"/>
        <w:adjustRightInd w:val="0"/>
        <w:spacing w:line="360" w:lineRule="auto"/>
        <w:ind w:firstLine="448" w:firstLineChars="200"/>
        <w:rPr>
          <w:sz w:val="24"/>
        </w:rPr>
      </w:pPr>
      <w:r>
        <w:rPr>
          <w:rFonts w:hint="eastAsia"/>
          <w:sz w:val="24"/>
        </w:rPr>
        <w:t>5、建立工作档案，项目结束时提交本项目运行维护记录和工作总结。</w:t>
      </w:r>
    </w:p>
    <w:p>
      <w:pPr>
        <w:autoSpaceDE w:val="0"/>
        <w:autoSpaceDN w:val="0"/>
        <w:adjustRightInd w:val="0"/>
        <w:spacing w:line="360" w:lineRule="auto"/>
        <w:ind w:firstLine="448" w:firstLineChars="200"/>
        <w:rPr>
          <w:sz w:val="24"/>
        </w:rPr>
      </w:pPr>
      <w:r>
        <w:rPr>
          <w:sz w:val="24"/>
        </w:rPr>
        <w:t>（三）时间、地点要求</w:t>
      </w:r>
    </w:p>
    <w:p>
      <w:pPr>
        <w:autoSpaceDE w:val="0"/>
        <w:autoSpaceDN w:val="0"/>
        <w:adjustRightInd w:val="0"/>
        <w:spacing w:line="360" w:lineRule="auto"/>
        <w:ind w:firstLine="448" w:firstLineChars="200"/>
        <w:rPr>
          <w:sz w:val="24"/>
        </w:rPr>
      </w:pPr>
      <w:r>
        <w:rPr>
          <w:sz w:val="24"/>
        </w:rPr>
        <w:t>1. 时间要求：</w:t>
      </w:r>
      <w:r>
        <w:rPr>
          <w:rFonts w:hint="eastAsia"/>
          <w:sz w:val="24"/>
        </w:rPr>
        <w:t>自合同签订之日起1年（特殊情况以合同为准）</w:t>
      </w:r>
      <w:r>
        <w:rPr>
          <w:sz w:val="24"/>
        </w:rPr>
        <w:t>。</w:t>
      </w:r>
    </w:p>
    <w:p>
      <w:pPr>
        <w:autoSpaceDE w:val="0"/>
        <w:autoSpaceDN w:val="0"/>
        <w:adjustRightInd w:val="0"/>
        <w:spacing w:line="360" w:lineRule="auto"/>
        <w:ind w:firstLine="448" w:firstLineChars="200"/>
        <w:rPr>
          <w:sz w:val="24"/>
        </w:rPr>
      </w:pPr>
      <w:r>
        <w:rPr>
          <w:sz w:val="24"/>
        </w:rPr>
        <w:t>2. 服务地点：</w:t>
      </w:r>
      <w:r>
        <w:rPr>
          <w:rFonts w:hint="eastAsia"/>
          <w:sz w:val="24"/>
        </w:rPr>
        <w:t>天津市南开区复康路19号</w:t>
      </w:r>
      <w:r>
        <w:rPr>
          <w:sz w:val="24"/>
        </w:rPr>
        <w:t>（特殊情况以合同为准）。</w:t>
      </w:r>
    </w:p>
    <w:p>
      <w:pPr>
        <w:autoSpaceDE w:val="0"/>
        <w:autoSpaceDN w:val="0"/>
        <w:adjustRightInd w:val="0"/>
        <w:spacing w:line="360" w:lineRule="auto"/>
        <w:ind w:firstLine="448" w:firstLineChars="200"/>
        <w:rPr>
          <w:sz w:val="24"/>
        </w:rPr>
      </w:pPr>
      <w:r>
        <w:rPr>
          <w:sz w:val="24"/>
        </w:rPr>
        <w:t>（四）付款方式</w:t>
      </w:r>
    </w:p>
    <w:p>
      <w:pPr>
        <w:autoSpaceDE w:val="0"/>
        <w:autoSpaceDN w:val="0"/>
        <w:adjustRightInd w:val="0"/>
        <w:spacing w:line="360" w:lineRule="auto"/>
        <w:ind w:firstLine="448" w:firstLineChars="200"/>
        <w:rPr>
          <w:sz w:val="24"/>
        </w:rPr>
      </w:pPr>
      <w:r>
        <w:rPr>
          <w:sz w:val="24"/>
        </w:rPr>
        <w:t>签定合同后15个工作日内预付合同总额的30%，验收合格后15个工作日内支付合同总额的</w:t>
      </w:r>
      <w:r>
        <w:rPr>
          <w:rFonts w:hint="eastAsia"/>
          <w:sz w:val="24"/>
        </w:rPr>
        <w:t>7</w:t>
      </w:r>
      <w:r>
        <w:rPr>
          <w:sz w:val="24"/>
        </w:rPr>
        <w:t>0%（特殊情况以合同为准）。</w:t>
      </w:r>
    </w:p>
    <w:p>
      <w:pPr>
        <w:autoSpaceDE w:val="0"/>
        <w:autoSpaceDN w:val="0"/>
        <w:adjustRightInd w:val="0"/>
        <w:spacing w:line="360" w:lineRule="auto"/>
        <w:ind w:firstLine="448" w:firstLineChars="200"/>
        <w:rPr>
          <w:sz w:val="24"/>
        </w:rPr>
      </w:pPr>
      <w:r>
        <w:rPr>
          <w:sz w:val="24"/>
        </w:rPr>
        <w:t>（五）投标保证金和履约保证金</w:t>
      </w:r>
    </w:p>
    <w:p>
      <w:pPr>
        <w:autoSpaceDE w:val="0"/>
        <w:autoSpaceDN w:val="0"/>
        <w:adjustRightInd w:val="0"/>
        <w:spacing w:line="360" w:lineRule="auto"/>
        <w:ind w:firstLine="448" w:firstLineChars="200"/>
        <w:rPr>
          <w:sz w:val="24"/>
        </w:rPr>
      </w:pPr>
      <w:r>
        <w:rPr>
          <w:sz w:val="24"/>
        </w:rPr>
        <w:t>本项目不收取投标保证金和履约保证金。</w:t>
      </w:r>
    </w:p>
    <w:p>
      <w:pPr>
        <w:autoSpaceDE w:val="0"/>
        <w:autoSpaceDN w:val="0"/>
        <w:adjustRightInd w:val="0"/>
        <w:spacing w:line="360" w:lineRule="auto"/>
        <w:ind w:firstLine="448" w:firstLineChars="200"/>
        <w:rPr>
          <w:color w:val="000000"/>
          <w:sz w:val="24"/>
        </w:rPr>
      </w:pPr>
      <w:r>
        <w:rPr>
          <w:rFonts w:hint="eastAsia"/>
          <w:color w:val="000000"/>
          <w:sz w:val="24"/>
        </w:rPr>
        <w:t>（六）验收方法及标准</w:t>
      </w:r>
    </w:p>
    <w:p>
      <w:pPr>
        <w:autoSpaceDE w:val="0"/>
        <w:autoSpaceDN w:val="0"/>
        <w:adjustRightInd w:val="0"/>
        <w:spacing w:line="360" w:lineRule="auto"/>
        <w:ind w:firstLine="448" w:firstLineChars="200"/>
        <w:rPr>
          <w:color w:val="000000"/>
          <w:sz w:val="24"/>
        </w:rPr>
      </w:pPr>
      <w:r>
        <w:rPr>
          <w:rFonts w:hint="eastAsia"/>
          <w:color w:val="000000"/>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sz w:val="24"/>
        </w:rPr>
      </w:pPr>
      <w:r>
        <w:rPr>
          <w:sz w:val="24"/>
        </w:rPr>
        <w:t>二</w:t>
      </w:r>
      <w:r>
        <w:rPr>
          <w:bCs/>
          <w:sz w:val="24"/>
        </w:rPr>
        <w:t>、技术要求</w:t>
      </w:r>
    </w:p>
    <w:p>
      <w:pPr>
        <w:spacing w:line="360" w:lineRule="auto"/>
        <w:ind w:firstLine="448" w:firstLineChars="200"/>
        <w:outlineLvl w:val="0"/>
        <w:rPr>
          <w:sz w:val="24"/>
        </w:rPr>
      </w:pPr>
      <w:r>
        <w:rPr>
          <w:sz w:val="24"/>
        </w:rPr>
        <w:t>（一）投标人须承诺所提供的服务、人员及设备符合相关国家强制性规定。</w:t>
      </w:r>
    </w:p>
    <w:p>
      <w:pPr>
        <w:spacing w:line="360" w:lineRule="auto"/>
        <w:ind w:firstLine="448" w:firstLineChars="200"/>
        <w:outlineLvl w:val="0"/>
        <w:rPr>
          <w:sz w:val="24"/>
        </w:rPr>
      </w:pPr>
      <w:r>
        <w:rPr>
          <w:sz w:val="24"/>
        </w:rPr>
        <w:t>（二）具体需求详见本部分项目需求书。</w:t>
      </w:r>
    </w:p>
    <w:p>
      <w:pPr>
        <w:spacing w:line="360" w:lineRule="auto"/>
        <w:ind w:firstLine="448" w:firstLineChars="200"/>
        <w:outlineLvl w:val="0"/>
        <w:rPr>
          <w:sz w:val="24"/>
        </w:rPr>
      </w:pPr>
      <w:r>
        <w:rPr>
          <w:sz w:val="24"/>
        </w:rPr>
        <w:t>三、评分因素及评标标准</w:t>
      </w:r>
    </w:p>
    <w:tbl>
      <w:tblPr>
        <w:tblStyle w:val="17"/>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jc w:val="center"/>
              <w:rPr>
                <w:color w:val="000000"/>
                <w:kern w:val="0"/>
                <w:sz w:val="24"/>
                <w:szCs w:val="24"/>
              </w:rPr>
            </w:pPr>
            <w:r>
              <w:rPr>
                <w:color w:val="000000"/>
                <w:kern w:val="0"/>
                <w:sz w:val="24"/>
                <w:szCs w:val="24"/>
              </w:rPr>
              <w:t>第一部分 价格（20分）</w:t>
            </w:r>
          </w:p>
        </w:tc>
        <w:tc>
          <w:tcPr>
            <w:tcW w:w="1143" w:type="dxa"/>
            <w:shd w:val="clear" w:color="auto" w:fill="auto"/>
            <w:vAlign w:val="center"/>
          </w:tcPr>
          <w:p>
            <w:pPr>
              <w:widowControl/>
              <w:jc w:val="center"/>
              <w:rPr>
                <w:color w:val="000000"/>
                <w:kern w:val="0"/>
                <w:sz w:val="24"/>
                <w:szCs w:val="24"/>
              </w:rPr>
            </w:pPr>
            <w:r>
              <w:rPr>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jc w:val="center"/>
              <w:rPr>
                <w:color w:val="000000"/>
                <w:kern w:val="0"/>
                <w:sz w:val="24"/>
                <w:szCs w:val="24"/>
              </w:rPr>
            </w:pPr>
            <w:r>
              <w:rPr>
                <w:color w:val="000000"/>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kern w:val="0"/>
                <w:sz w:val="24"/>
                <w:szCs w:val="24"/>
              </w:rPr>
              <w:t>价格</w:t>
            </w:r>
          </w:p>
        </w:tc>
        <w:tc>
          <w:tcPr>
            <w:tcW w:w="7311" w:type="dxa"/>
            <w:shd w:val="clear" w:color="auto" w:fill="auto"/>
            <w:vAlign w:val="center"/>
          </w:tcPr>
          <w:p>
            <w:pPr>
              <w:widowControl/>
              <w:spacing w:line="400" w:lineRule="exact"/>
              <w:rPr>
                <w:kern w:val="0"/>
                <w:sz w:val="24"/>
                <w:szCs w:val="24"/>
              </w:rPr>
            </w:pPr>
            <w:r>
              <w:rPr>
                <w:kern w:val="0"/>
                <w:sz w:val="24"/>
                <w:szCs w:val="24"/>
              </w:rPr>
              <w:t>（1）投标报价超过采购预算的，投标无效，未超过采购预算的投标报价按以下公式进行计算。</w:t>
            </w:r>
          </w:p>
          <w:p>
            <w:pPr>
              <w:widowControl/>
              <w:spacing w:line="400" w:lineRule="exact"/>
              <w:rPr>
                <w:kern w:val="0"/>
                <w:sz w:val="24"/>
                <w:szCs w:val="24"/>
              </w:rPr>
            </w:pPr>
            <w:r>
              <w:rPr>
                <w:kern w:val="0"/>
                <w:sz w:val="24"/>
                <w:szCs w:val="24"/>
              </w:rPr>
              <w:t>（2）投标报价得分=（评标基准价/投标报价）×20</w:t>
            </w:r>
          </w:p>
          <w:p>
            <w:pPr>
              <w:widowControl/>
              <w:spacing w:line="400" w:lineRule="exact"/>
              <w:rPr>
                <w:kern w:val="0"/>
                <w:sz w:val="24"/>
                <w:szCs w:val="24"/>
              </w:rPr>
            </w:pPr>
            <w:r>
              <w:rPr>
                <w:kern w:val="0"/>
                <w:sz w:val="24"/>
                <w:szCs w:val="24"/>
              </w:rPr>
              <w:t>注：满足招标文件要求且投标报价最低的投标报价为评标基准价。</w:t>
            </w:r>
          </w:p>
        </w:tc>
        <w:tc>
          <w:tcPr>
            <w:tcW w:w="1143" w:type="dxa"/>
            <w:shd w:val="clear" w:color="auto" w:fill="auto"/>
            <w:vAlign w:val="center"/>
          </w:tcPr>
          <w:p>
            <w:pPr>
              <w:widowControl/>
              <w:jc w:val="center"/>
              <w:rPr>
                <w:color w:val="000000"/>
                <w:kern w:val="0"/>
                <w:sz w:val="24"/>
                <w:szCs w:val="24"/>
              </w:rPr>
            </w:pPr>
            <w:r>
              <w:rPr>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393" w:type="dxa"/>
            <w:gridSpan w:val="3"/>
            <w:shd w:val="clear" w:color="auto" w:fill="auto"/>
            <w:noWrap/>
            <w:vAlign w:val="center"/>
          </w:tcPr>
          <w:p>
            <w:pPr>
              <w:widowControl/>
              <w:spacing w:line="400" w:lineRule="exact"/>
              <w:jc w:val="center"/>
              <w:rPr>
                <w:kern w:val="0"/>
                <w:sz w:val="24"/>
                <w:szCs w:val="24"/>
              </w:rPr>
            </w:pPr>
            <w:r>
              <w:rPr>
                <w:color w:val="000000"/>
                <w:kern w:val="0"/>
                <w:sz w:val="24"/>
                <w:szCs w:val="24"/>
              </w:rPr>
              <w:t>第二部分 客观分（</w:t>
            </w:r>
            <w:r>
              <w:rPr>
                <w:rFonts w:hint="eastAsia"/>
                <w:color w:val="000000"/>
                <w:kern w:val="0"/>
                <w:sz w:val="24"/>
                <w:szCs w:val="24"/>
              </w:rPr>
              <w:t>28</w:t>
            </w:r>
            <w:r>
              <w:rPr>
                <w:color w:val="000000"/>
                <w:kern w:val="0"/>
                <w:sz w:val="24"/>
                <w:szCs w:val="24"/>
              </w:rPr>
              <w:t>分）</w:t>
            </w:r>
          </w:p>
        </w:tc>
        <w:tc>
          <w:tcPr>
            <w:tcW w:w="1143" w:type="dxa"/>
            <w:shd w:val="clear" w:color="auto" w:fill="auto"/>
            <w:vAlign w:val="center"/>
          </w:tcPr>
          <w:p>
            <w:pPr>
              <w:widowControl/>
              <w:jc w:val="center"/>
              <w:rPr>
                <w:color w:val="000000"/>
                <w:kern w:val="0"/>
                <w:sz w:val="24"/>
                <w:szCs w:val="24"/>
              </w:rPr>
            </w:pPr>
            <w:r>
              <w:rPr>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spacing w:line="400" w:lineRule="exact"/>
              <w:jc w:val="center"/>
              <w:rPr>
                <w:kern w:val="0"/>
                <w:sz w:val="24"/>
                <w:szCs w:val="24"/>
              </w:rPr>
            </w:pPr>
            <w:r>
              <w:rPr>
                <w:kern w:val="0"/>
                <w:sz w:val="24"/>
                <w:szCs w:val="24"/>
              </w:rPr>
              <w:t>投标人业绩</w:t>
            </w:r>
          </w:p>
        </w:tc>
        <w:tc>
          <w:tcPr>
            <w:tcW w:w="7311" w:type="dxa"/>
            <w:shd w:val="clear" w:color="auto" w:fill="auto"/>
            <w:vAlign w:val="center"/>
          </w:tcPr>
          <w:p>
            <w:pPr>
              <w:widowControl/>
              <w:spacing w:line="400" w:lineRule="exact"/>
              <w:rPr>
                <w:kern w:val="0"/>
                <w:sz w:val="24"/>
                <w:szCs w:val="24"/>
              </w:rPr>
            </w:pPr>
            <w:r>
              <w:rPr>
                <w:kern w:val="0"/>
                <w:sz w:val="24"/>
                <w:szCs w:val="24"/>
              </w:rPr>
              <w:t>完全按照以下要求提供与</w:t>
            </w:r>
            <w:r>
              <w:rPr>
                <w:rFonts w:hint="eastAsia"/>
                <w:kern w:val="0"/>
                <w:sz w:val="24"/>
                <w:szCs w:val="24"/>
              </w:rPr>
              <w:t>数据平台开发、运行维护等相关</w:t>
            </w:r>
            <w:r>
              <w:rPr>
                <w:kern w:val="0"/>
                <w:sz w:val="24"/>
                <w:szCs w:val="24"/>
              </w:rPr>
              <w:t>的</w:t>
            </w:r>
            <w:r>
              <w:rPr>
                <w:rFonts w:hint="eastAsia"/>
                <w:kern w:val="0"/>
                <w:sz w:val="24"/>
                <w:szCs w:val="24"/>
              </w:rPr>
              <w:t>业绩</w:t>
            </w:r>
            <w:r>
              <w:rPr>
                <w:kern w:val="0"/>
                <w:sz w:val="24"/>
                <w:szCs w:val="24"/>
              </w:rPr>
              <w:t>，提供的证明材料均不得遮挡涂黑，否则不予认定加分。</w:t>
            </w:r>
          </w:p>
          <w:p>
            <w:pPr>
              <w:widowControl/>
              <w:spacing w:line="400" w:lineRule="exact"/>
              <w:rPr>
                <w:kern w:val="0"/>
                <w:sz w:val="24"/>
                <w:szCs w:val="24"/>
              </w:rPr>
            </w:pPr>
            <w:r>
              <w:rPr>
                <w:rFonts w:hint="eastAsia"/>
                <w:kern w:val="0"/>
                <w:sz w:val="24"/>
                <w:szCs w:val="24"/>
              </w:rPr>
              <w:t>A</w:t>
            </w:r>
            <w:r>
              <w:rPr>
                <w:kern w:val="0"/>
                <w:sz w:val="24"/>
                <w:szCs w:val="24"/>
              </w:rPr>
              <w:t>. 合同</w:t>
            </w:r>
            <w:r>
              <w:rPr>
                <w:rFonts w:hint="eastAsia"/>
                <w:kern w:val="0"/>
                <w:sz w:val="24"/>
                <w:szCs w:val="24"/>
              </w:rPr>
              <w:t>原件</w:t>
            </w:r>
            <w:r>
              <w:rPr>
                <w:kern w:val="0"/>
                <w:sz w:val="24"/>
                <w:szCs w:val="24"/>
              </w:rPr>
              <w:t>扫描件</w:t>
            </w:r>
            <w:r>
              <w:rPr>
                <w:rFonts w:hint="eastAsia"/>
                <w:kern w:val="0"/>
                <w:sz w:val="24"/>
                <w:szCs w:val="24"/>
              </w:rPr>
              <w:t>（合同签订时间为2018年1月1日至今）</w:t>
            </w:r>
            <w:r>
              <w:rPr>
                <w:kern w:val="0"/>
                <w:sz w:val="24"/>
                <w:szCs w:val="24"/>
              </w:rPr>
              <w:t>。包括合同金额、买卖双方名称及盖章、服务内容</w:t>
            </w:r>
            <w:r>
              <w:rPr>
                <w:rFonts w:hint="eastAsia"/>
                <w:bCs/>
                <w:sz w:val="24"/>
              </w:rPr>
              <w:t>、合同签订日期</w:t>
            </w:r>
            <w:r>
              <w:rPr>
                <w:kern w:val="0"/>
                <w:sz w:val="24"/>
                <w:szCs w:val="24"/>
              </w:rPr>
              <w:t>。</w:t>
            </w:r>
          </w:p>
          <w:p>
            <w:pPr>
              <w:widowControl/>
              <w:spacing w:line="400" w:lineRule="exact"/>
              <w:rPr>
                <w:kern w:val="0"/>
                <w:sz w:val="24"/>
                <w:szCs w:val="24"/>
              </w:rPr>
            </w:pPr>
            <w:r>
              <w:rPr>
                <w:kern w:val="0"/>
                <w:sz w:val="24"/>
                <w:szCs w:val="24"/>
              </w:rPr>
              <w:t>B.</w:t>
            </w:r>
            <w:r>
              <w:rPr>
                <w:rFonts w:hint="eastAsia"/>
                <w:kern w:val="0"/>
                <w:sz w:val="24"/>
                <w:szCs w:val="24"/>
              </w:rPr>
              <w:t xml:space="preserve"> 上述</w:t>
            </w:r>
            <w:r>
              <w:rPr>
                <w:kern w:val="0"/>
                <w:sz w:val="24"/>
                <w:szCs w:val="24"/>
              </w:rPr>
              <w:t>合同履行</w:t>
            </w:r>
            <w:r>
              <w:rPr>
                <w:rFonts w:hint="eastAsia"/>
                <w:kern w:val="0"/>
                <w:sz w:val="24"/>
                <w:szCs w:val="24"/>
              </w:rPr>
              <w:t>良好</w:t>
            </w:r>
            <w:r>
              <w:rPr>
                <w:kern w:val="0"/>
                <w:sz w:val="24"/>
                <w:szCs w:val="24"/>
              </w:rPr>
              <w:t>的相关证明材料</w:t>
            </w:r>
            <w:r>
              <w:rPr>
                <w:rFonts w:hint="eastAsia"/>
                <w:kern w:val="0"/>
                <w:sz w:val="24"/>
                <w:szCs w:val="24"/>
              </w:rPr>
              <w:t>原件</w:t>
            </w:r>
            <w:r>
              <w:rPr>
                <w:kern w:val="0"/>
                <w:sz w:val="24"/>
                <w:szCs w:val="24"/>
              </w:rPr>
              <w:t>扫描件</w:t>
            </w:r>
            <w:r>
              <w:rPr>
                <w:rFonts w:hint="eastAsia"/>
                <w:kern w:val="0"/>
                <w:sz w:val="24"/>
                <w:szCs w:val="24"/>
              </w:rPr>
              <w:t>（加盖上述合同甲方单位公章或上述合同甲方印章）</w:t>
            </w:r>
            <w:r>
              <w:rPr>
                <w:kern w:val="0"/>
                <w:sz w:val="24"/>
                <w:szCs w:val="24"/>
              </w:rPr>
              <w:t>。</w:t>
            </w:r>
          </w:p>
          <w:p>
            <w:pPr>
              <w:widowControl/>
              <w:spacing w:line="400" w:lineRule="exact"/>
              <w:rPr>
                <w:kern w:val="0"/>
                <w:sz w:val="24"/>
                <w:szCs w:val="24"/>
              </w:rPr>
            </w:pPr>
            <w:r>
              <w:rPr>
                <w:kern w:val="0"/>
                <w:sz w:val="24"/>
                <w:szCs w:val="24"/>
              </w:rPr>
              <w:t>每个案例</w:t>
            </w:r>
            <w:r>
              <w:rPr>
                <w:rFonts w:hint="eastAsia"/>
                <w:kern w:val="0"/>
                <w:sz w:val="24"/>
                <w:szCs w:val="24"/>
              </w:rPr>
              <w:t>2</w:t>
            </w:r>
            <w:r>
              <w:rPr>
                <w:kern w:val="0"/>
                <w:sz w:val="24"/>
                <w:szCs w:val="24"/>
              </w:rPr>
              <w:t>分，最多</w:t>
            </w:r>
            <w:r>
              <w:rPr>
                <w:rFonts w:hint="eastAsia"/>
                <w:kern w:val="0"/>
                <w:sz w:val="24"/>
                <w:szCs w:val="24"/>
              </w:rPr>
              <w:t>8</w:t>
            </w:r>
            <w:r>
              <w:rPr>
                <w:kern w:val="0"/>
                <w:sz w:val="24"/>
                <w:szCs w:val="24"/>
              </w:rPr>
              <w:t>分</w:t>
            </w:r>
          </w:p>
        </w:tc>
        <w:tc>
          <w:tcPr>
            <w:tcW w:w="1143" w:type="dxa"/>
            <w:shd w:val="clear" w:color="auto" w:fill="auto"/>
            <w:vAlign w:val="center"/>
          </w:tcPr>
          <w:p>
            <w:pPr>
              <w:widowControl/>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2</w:t>
            </w:r>
          </w:p>
        </w:tc>
        <w:tc>
          <w:tcPr>
            <w:tcW w:w="1419" w:type="dxa"/>
            <w:shd w:val="clear" w:color="auto" w:fill="auto"/>
            <w:vAlign w:val="center"/>
          </w:tcPr>
          <w:p>
            <w:pPr>
              <w:widowControl/>
              <w:spacing w:line="400" w:lineRule="exact"/>
              <w:jc w:val="center"/>
              <w:rPr>
                <w:kern w:val="0"/>
                <w:sz w:val="24"/>
                <w:szCs w:val="24"/>
              </w:rPr>
            </w:pPr>
            <w:r>
              <w:rPr>
                <w:kern w:val="0"/>
                <w:sz w:val="24"/>
                <w:szCs w:val="24"/>
              </w:rPr>
              <w:t>投标人相关证书</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（1）</w:t>
            </w:r>
            <w:r>
              <w:rPr>
                <w:kern w:val="0"/>
                <w:sz w:val="24"/>
                <w:szCs w:val="24"/>
              </w:rPr>
              <w:t>投标人具备质量管理体系认证、环境管理体系认证、职业健康安全管理体系认证，提供证书扫描件</w:t>
            </w:r>
            <w:r>
              <w:rPr>
                <w:rFonts w:hint="eastAsia"/>
                <w:kern w:val="0"/>
                <w:sz w:val="24"/>
                <w:szCs w:val="24"/>
              </w:rPr>
              <w:t>，</w:t>
            </w:r>
            <w:r>
              <w:rPr>
                <w:kern w:val="0"/>
                <w:sz w:val="24"/>
                <w:szCs w:val="24"/>
              </w:rPr>
              <w:t>1个证书扫描件1分，最高3分。</w:t>
            </w:r>
          </w:p>
          <w:p>
            <w:pPr>
              <w:widowControl/>
              <w:spacing w:line="400" w:lineRule="exact"/>
              <w:rPr>
                <w:kern w:val="0"/>
                <w:sz w:val="24"/>
                <w:szCs w:val="24"/>
              </w:rPr>
            </w:pPr>
            <w:r>
              <w:rPr>
                <w:rFonts w:hint="eastAsia"/>
                <w:kern w:val="0"/>
                <w:sz w:val="24"/>
                <w:szCs w:val="24"/>
              </w:rPr>
              <w:t>（2）投标人具有三级及以上信息系统集成及服务资质、AAA企业信用等级证书、全国环保优秀品牌企业证书，</w:t>
            </w:r>
            <w:r>
              <w:rPr>
                <w:kern w:val="0"/>
                <w:sz w:val="24"/>
                <w:szCs w:val="24"/>
              </w:rPr>
              <w:t>1个证书扫描件1分，最高3分。</w:t>
            </w:r>
          </w:p>
        </w:tc>
        <w:tc>
          <w:tcPr>
            <w:tcW w:w="1143" w:type="dxa"/>
            <w:shd w:val="clear" w:color="auto" w:fill="auto"/>
            <w:vAlign w:val="center"/>
          </w:tcPr>
          <w:p>
            <w:pPr>
              <w:widowControl/>
              <w:jc w:val="center"/>
              <w:rPr>
                <w:kern w:val="0"/>
                <w:sz w:val="24"/>
                <w:szCs w:val="24"/>
              </w:rPr>
            </w:pPr>
            <w:r>
              <w:rPr>
                <w:rFonts w:hint="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3</w:t>
            </w:r>
          </w:p>
        </w:tc>
        <w:tc>
          <w:tcPr>
            <w:tcW w:w="1419" w:type="dxa"/>
            <w:shd w:val="clear" w:color="auto" w:fill="auto"/>
            <w:vAlign w:val="center"/>
          </w:tcPr>
          <w:p>
            <w:pPr>
              <w:widowControl/>
              <w:adjustRightInd w:val="0"/>
              <w:snapToGrid w:val="0"/>
              <w:jc w:val="center"/>
              <w:rPr>
                <w:kern w:val="0"/>
                <w:sz w:val="24"/>
                <w:szCs w:val="24"/>
              </w:rPr>
            </w:pPr>
            <w:r>
              <w:rPr>
                <w:rFonts w:hint="eastAsia"/>
                <w:kern w:val="0"/>
                <w:sz w:val="24"/>
                <w:szCs w:val="24"/>
              </w:rPr>
              <w:t>团队人员能力评价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提供拟投入本项目团队人员姓名、开标前六个月内任意一个月投标人为团队人员缴纳社会保险证明材料扫描件，否则不予认定给分。</w:t>
            </w:r>
          </w:p>
          <w:p>
            <w:pPr>
              <w:widowControl/>
              <w:spacing w:line="400" w:lineRule="exact"/>
              <w:rPr>
                <w:kern w:val="0"/>
                <w:sz w:val="24"/>
                <w:szCs w:val="24"/>
              </w:rPr>
            </w:pPr>
            <w:r>
              <w:rPr>
                <w:rFonts w:hint="eastAsia"/>
                <w:kern w:val="0"/>
                <w:sz w:val="24"/>
                <w:szCs w:val="24"/>
              </w:rPr>
              <w:t xml:space="preserve">团队人员具备软件平台运行维护能力和软件编程技术能力， </w:t>
            </w:r>
          </w:p>
          <w:p>
            <w:pPr>
              <w:widowControl/>
              <w:spacing w:line="400" w:lineRule="exact"/>
              <w:rPr>
                <w:kern w:val="0"/>
                <w:sz w:val="24"/>
                <w:szCs w:val="24"/>
              </w:rPr>
            </w:pPr>
            <w:r>
              <w:rPr>
                <w:rFonts w:hint="eastAsia"/>
                <w:kern w:val="0"/>
                <w:sz w:val="24"/>
                <w:szCs w:val="24"/>
              </w:rPr>
              <w:t>满足以上要求人员≥8人的：8分；</w:t>
            </w:r>
          </w:p>
          <w:p>
            <w:pPr>
              <w:widowControl/>
              <w:spacing w:line="400" w:lineRule="exact"/>
              <w:rPr>
                <w:kern w:val="0"/>
                <w:sz w:val="24"/>
                <w:szCs w:val="24"/>
              </w:rPr>
            </w:pPr>
            <w:r>
              <w:rPr>
                <w:rFonts w:hint="eastAsia"/>
                <w:kern w:val="0"/>
                <w:sz w:val="24"/>
                <w:szCs w:val="24"/>
              </w:rPr>
              <w:t>满足以上要求人员为6-7人的：6分；</w:t>
            </w:r>
          </w:p>
          <w:p>
            <w:pPr>
              <w:widowControl/>
              <w:spacing w:line="400" w:lineRule="exact"/>
              <w:rPr>
                <w:kern w:val="0"/>
                <w:sz w:val="24"/>
                <w:szCs w:val="24"/>
              </w:rPr>
            </w:pPr>
            <w:r>
              <w:rPr>
                <w:rFonts w:hint="eastAsia"/>
                <w:kern w:val="0"/>
                <w:sz w:val="24"/>
                <w:szCs w:val="24"/>
              </w:rPr>
              <w:t>满足以上要求人员为4-5人的：4分；</w:t>
            </w:r>
          </w:p>
          <w:p>
            <w:pPr>
              <w:spacing w:line="400" w:lineRule="exact"/>
              <w:outlineLvl w:val="0"/>
              <w:rPr>
                <w:kern w:val="0"/>
                <w:sz w:val="24"/>
                <w:szCs w:val="24"/>
              </w:rPr>
            </w:pPr>
            <w:r>
              <w:rPr>
                <w:rFonts w:hint="eastAsia"/>
                <w:kern w:val="0"/>
                <w:sz w:val="24"/>
                <w:szCs w:val="24"/>
              </w:rPr>
              <w:t>其他0分</w:t>
            </w:r>
          </w:p>
        </w:tc>
        <w:tc>
          <w:tcPr>
            <w:tcW w:w="1143" w:type="dxa"/>
            <w:shd w:val="clear" w:color="auto" w:fill="auto"/>
            <w:vAlign w:val="center"/>
          </w:tcPr>
          <w:p>
            <w:pPr>
              <w:widowControl/>
              <w:adjustRightInd w:val="0"/>
              <w:snapToGrid w:val="0"/>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4</w:t>
            </w:r>
          </w:p>
        </w:tc>
        <w:tc>
          <w:tcPr>
            <w:tcW w:w="1419" w:type="dxa"/>
            <w:shd w:val="clear" w:color="auto" w:fill="auto"/>
            <w:vAlign w:val="center"/>
          </w:tcPr>
          <w:p>
            <w:pPr>
              <w:widowControl/>
              <w:snapToGrid w:val="0"/>
              <w:jc w:val="center"/>
              <w:rPr>
                <w:bCs/>
                <w:sz w:val="24"/>
              </w:rPr>
            </w:pPr>
            <w:r>
              <w:rPr>
                <w:rFonts w:hint="eastAsia"/>
                <w:bCs/>
                <w:sz w:val="24"/>
              </w:rPr>
              <w:t>拟投入机动车辆评价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自有车辆：提供机动车行驶证扫描件（所有人应为投标单位）；租赁车辆：提供机动车行驶证扫描件和租赁合同及发票扫描件，上述车辆除限号日外，须全天24小时均可在天津市外环线内合法行驶，否则不予认定给分。</w:t>
            </w:r>
          </w:p>
          <w:p>
            <w:pPr>
              <w:widowControl/>
              <w:spacing w:line="400" w:lineRule="exact"/>
              <w:rPr>
                <w:kern w:val="0"/>
                <w:sz w:val="24"/>
                <w:szCs w:val="24"/>
              </w:rPr>
            </w:pPr>
            <w:r>
              <w:rPr>
                <w:rFonts w:hint="eastAsia"/>
                <w:kern w:val="0"/>
                <w:sz w:val="24"/>
                <w:szCs w:val="24"/>
              </w:rPr>
              <w:t>投入至少2辆机动车（含2辆）为本项目服务的，得2分；其他不得分。</w:t>
            </w:r>
          </w:p>
        </w:tc>
        <w:tc>
          <w:tcPr>
            <w:tcW w:w="1143" w:type="dxa"/>
            <w:shd w:val="clear" w:color="auto" w:fill="auto"/>
            <w:vAlign w:val="center"/>
          </w:tcPr>
          <w:p>
            <w:pPr>
              <w:widowControl/>
              <w:jc w:val="center"/>
              <w:rPr>
                <w:kern w:val="0"/>
                <w:sz w:val="24"/>
                <w:szCs w:val="24"/>
              </w:rPr>
            </w:pPr>
            <w:r>
              <w:rPr>
                <w:rFonts w:hint="eastAsia"/>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5</w:t>
            </w:r>
          </w:p>
        </w:tc>
        <w:tc>
          <w:tcPr>
            <w:tcW w:w="1419" w:type="dxa"/>
            <w:shd w:val="clear" w:color="auto" w:fill="auto"/>
            <w:vAlign w:val="center"/>
          </w:tcPr>
          <w:p>
            <w:pPr>
              <w:widowControl/>
              <w:adjustRightInd w:val="0"/>
              <w:snapToGrid w:val="0"/>
              <w:jc w:val="center"/>
              <w:rPr>
                <w:bCs/>
                <w:sz w:val="24"/>
              </w:rPr>
            </w:pPr>
            <w:r>
              <w:rPr>
                <w:rFonts w:hint="eastAsia"/>
                <w:bCs/>
                <w:sz w:val="24"/>
              </w:rPr>
              <w:t>投标人承诺评价</w:t>
            </w:r>
          </w:p>
        </w:tc>
        <w:tc>
          <w:tcPr>
            <w:tcW w:w="7311" w:type="dxa"/>
            <w:shd w:val="clear" w:color="auto" w:fill="auto"/>
            <w:vAlign w:val="center"/>
          </w:tcPr>
          <w:p>
            <w:pPr>
              <w:widowControl/>
              <w:spacing w:line="400" w:lineRule="exact"/>
              <w:rPr>
                <w:kern w:val="0"/>
                <w:sz w:val="24"/>
                <w:szCs w:val="24"/>
              </w:rPr>
            </w:pPr>
            <w:r>
              <w:rPr>
                <w:rFonts w:hint="eastAsia"/>
                <w:kern w:val="0"/>
                <w:sz w:val="24"/>
                <w:szCs w:val="24"/>
              </w:rPr>
              <w:t>承诺完全满足“报价要求”、“服务要求”、“时间地点要求”、“付款方式要求”和项目需求书要求的：4分，其他0分。</w:t>
            </w:r>
          </w:p>
        </w:tc>
        <w:tc>
          <w:tcPr>
            <w:tcW w:w="1143" w:type="dxa"/>
            <w:shd w:val="clear" w:color="auto" w:fill="auto"/>
            <w:vAlign w:val="center"/>
          </w:tcPr>
          <w:p>
            <w:pPr>
              <w:widowControl/>
              <w:adjustRightInd w:val="0"/>
              <w:snapToGrid w:val="0"/>
              <w:jc w:val="center"/>
              <w:rPr>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393" w:type="dxa"/>
            <w:gridSpan w:val="3"/>
            <w:shd w:val="clear" w:color="auto" w:fill="auto"/>
            <w:noWrap/>
            <w:vAlign w:val="center"/>
          </w:tcPr>
          <w:p>
            <w:pPr>
              <w:widowControl/>
              <w:spacing w:line="400" w:lineRule="exact"/>
              <w:jc w:val="center"/>
              <w:rPr>
                <w:kern w:val="0"/>
                <w:sz w:val="24"/>
                <w:szCs w:val="24"/>
              </w:rPr>
            </w:pPr>
            <w:r>
              <w:rPr>
                <w:kern w:val="0"/>
                <w:sz w:val="24"/>
                <w:szCs w:val="24"/>
              </w:rPr>
              <w:t>第三部分 主观分（</w:t>
            </w:r>
            <w:r>
              <w:rPr>
                <w:rFonts w:hint="eastAsia"/>
                <w:kern w:val="0"/>
                <w:sz w:val="24"/>
                <w:szCs w:val="24"/>
              </w:rPr>
              <w:t>52</w:t>
            </w:r>
            <w:r>
              <w:rPr>
                <w:kern w:val="0"/>
                <w:sz w:val="24"/>
                <w:szCs w:val="24"/>
              </w:rPr>
              <w:t>分）</w:t>
            </w:r>
          </w:p>
        </w:tc>
        <w:tc>
          <w:tcPr>
            <w:tcW w:w="1143" w:type="dxa"/>
            <w:shd w:val="clear" w:color="auto" w:fill="auto"/>
            <w:vAlign w:val="center"/>
          </w:tcPr>
          <w:p>
            <w:pPr>
              <w:widowControl/>
              <w:jc w:val="center"/>
              <w:rPr>
                <w:color w:val="000000"/>
                <w:kern w:val="0"/>
                <w:sz w:val="24"/>
                <w:szCs w:val="24"/>
              </w:rPr>
            </w:pPr>
            <w:r>
              <w:rPr>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kern w:val="0"/>
                <w:sz w:val="24"/>
                <w:szCs w:val="24"/>
              </w:rPr>
              <w:t>1</w:t>
            </w:r>
          </w:p>
        </w:tc>
        <w:tc>
          <w:tcPr>
            <w:tcW w:w="1419" w:type="dxa"/>
            <w:shd w:val="clear" w:color="auto" w:fill="auto"/>
            <w:vAlign w:val="center"/>
          </w:tcPr>
          <w:p>
            <w:pPr>
              <w:widowControl/>
              <w:adjustRightInd w:val="0"/>
              <w:snapToGrid w:val="0"/>
              <w:jc w:val="center"/>
              <w:rPr>
                <w:kern w:val="0"/>
                <w:sz w:val="24"/>
                <w:szCs w:val="24"/>
              </w:rPr>
            </w:pPr>
            <w:r>
              <w:rPr>
                <w:kern w:val="0"/>
                <w:sz w:val="24"/>
                <w:szCs w:val="24"/>
              </w:rPr>
              <w:t>组织机构设置及人员配备</w:t>
            </w:r>
          </w:p>
        </w:tc>
        <w:tc>
          <w:tcPr>
            <w:tcW w:w="7311" w:type="dxa"/>
            <w:shd w:val="clear" w:color="auto" w:fill="auto"/>
            <w:vAlign w:val="center"/>
          </w:tcPr>
          <w:p>
            <w:pPr>
              <w:widowControl/>
              <w:adjustRightInd w:val="0"/>
              <w:snapToGrid w:val="0"/>
              <w:rPr>
                <w:kern w:val="0"/>
                <w:sz w:val="24"/>
                <w:szCs w:val="24"/>
              </w:rPr>
            </w:pPr>
            <w:r>
              <w:rPr>
                <w:kern w:val="0"/>
                <w:sz w:val="24"/>
                <w:szCs w:val="24"/>
              </w:rPr>
              <w:t>组织机构设置合理，项目经理及各专业管理人员、技术人员配备齐全：</w:t>
            </w:r>
            <w:r>
              <w:rPr>
                <w:rFonts w:hint="eastAsia"/>
                <w:kern w:val="0"/>
                <w:sz w:val="24"/>
                <w:szCs w:val="24"/>
              </w:rPr>
              <w:t>8</w:t>
            </w:r>
            <w:r>
              <w:rPr>
                <w:kern w:val="0"/>
                <w:sz w:val="24"/>
                <w:szCs w:val="24"/>
              </w:rPr>
              <w:t>分</w:t>
            </w:r>
            <w:r>
              <w:rPr>
                <w:rFonts w:hint="eastAsia"/>
                <w:kern w:val="0"/>
                <w:sz w:val="24"/>
                <w:szCs w:val="24"/>
              </w:rPr>
              <w:t>；</w:t>
            </w:r>
          </w:p>
          <w:p>
            <w:pPr>
              <w:widowControl/>
              <w:adjustRightInd w:val="0"/>
              <w:snapToGrid w:val="0"/>
              <w:rPr>
                <w:kern w:val="0"/>
                <w:sz w:val="24"/>
                <w:szCs w:val="24"/>
              </w:rPr>
            </w:pPr>
            <w:r>
              <w:rPr>
                <w:rFonts w:hint="eastAsia"/>
                <w:kern w:val="0"/>
                <w:sz w:val="24"/>
                <w:szCs w:val="24"/>
              </w:rPr>
              <w:t>组织机构设置及人员配备满足招标文件要求，但内容存在1处瑕疵：6分；</w:t>
            </w:r>
          </w:p>
          <w:p>
            <w:pPr>
              <w:widowControl/>
              <w:adjustRightInd w:val="0"/>
              <w:snapToGrid w:val="0"/>
              <w:rPr>
                <w:kern w:val="0"/>
                <w:sz w:val="24"/>
                <w:szCs w:val="24"/>
              </w:rPr>
            </w:pPr>
            <w:r>
              <w:rPr>
                <w:rFonts w:hint="eastAsia"/>
                <w:kern w:val="0"/>
                <w:sz w:val="24"/>
                <w:szCs w:val="24"/>
              </w:rPr>
              <w:t>组织机构设置及人员配备满足招标文件要求，但内容存在2处瑕疵：4分；</w:t>
            </w:r>
          </w:p>
          <w:p>
            <w:pPr>
              <w:widowControl/>
              <w:adjustRightInd w:val="0"/>
              <w:snapToGrid w:val="0"/>
              <w:rPr>
                <w:kern w:val="0"/>
                <w:sz w:val="24"/>
                <w:szCs w:val="24"/>
              </w:rPr>
            </w:pPr>
            <w:r>
              <w:rPr>
                <w:rFonts w:hint="eastAsia"/>
                <w:kern w:val="0"/>
                <w:sz w:val="24"/>
                <w:szCs w:val="24"/>
              </w:rPr>
              <w:t>其他：0分。</w:t>
            </w:r>
          </w:p>
        </w:tc>
        <w:tc>
          <w:tcPr>
            <w:tcW w:w="1143" w:type="dxa"/>
            <w:shd w:val="clear" w:color="auto" w:fill="auto"/>
            <w:vAlign w:val="center"/>
          </w:tcPr>
          <w:p>
            <w:pPr>
              <w:widowControl/>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2</w:t>
            </w:r>
          </w:p>
        </w:tc>
        <w:tc>
          <w:tcPr>
            <w:tcW w:w="1419" w:type="dxa"/>
            <w:shd w:val="clear" w:color="auto" w:fill="auto"/>
            <w:vAlign w:val="center"/>
          </w:tcPr>
          <w:p>
            <w:pPr>
              <w:widowControl/>
              <w:adjustRightInd w:val="0"/>
              <w:snapToGrid w:val="0"/>
              <w:jc w:val="center"/>
              <w:rPr>
                <w:kern w:val="0"/>
                <w:sz w:val="24"/>
                <w:szCs w:val="24"/>
              </w:rPr>
            </w:pPr>
            <w:r>
              <w:rPr>
                <w:rFonts w:hint="eastAsia"/>
                <w:kern w:val="0"/>
                <w:sz w:val="24"/>
                <w:szCs w:val="24"/>
              </w:rPr>
              <w:t>针对本项目特点的专业化服务方案评价</w:t>
            </w:r>
          </w:p>
        </w:tc>
        <w:tc>
          <w:tcPr>
            <w:tcW w:w="7311" w:type="dxa"/>
            <w:shd w:val="clear" w:color="auto" w:fill="auto"/>
            <w:vAlign w:val="center"/>
          </w:tcPr>
          <w:p>
            <w:pPr>
              <w:autoSpaceDE w:val="0"/>
              <w:autoSpaceDN w:val="0"/>
              <w:adjustRightInd w:val="0"/>
              <w:snapToGrid w:val="0"/>
              <w:rPr>
                <w:kern w:val="0"/>
                <w:sz w:val="24"/>
                <w:szCs w:val="24"/>
              </w:rPr>
            </w:pPr>
            <w:r>
              <w:rPr>
                <w:rFonts w:hint="eastAsia"/>
                <w:kern w:val="0"/>
                <w:sz w:val="24"/>
                <w:szCs w:val="24"/>
              </w:rPr>
              <w:t>方案考虑全面，不漏项，专业性、针对性、系统性强，操作可行：8分；</w:t>
            </w:r>
          </w:p>
          <w:p>
            <w:pPr>
              <w:autoSpaceDE w:val="0"/>
              <w:autoSpaceDN w:val="0"/>
              <w:adjustRightInd w:val="0"/>
              <w:snapToGrid w:val="0"/>
              <w:rPr>
                <w:kern w:val="0"/>
                <w:sz w:val="24"/>
                <w:szCs w:val="24"/>
              </w:rPr>
            </w:pPr>
            <w:r>
              <w:rPr>
                <w:rFonts w:hint="eastAsia"/>
                <w:kern w:val="0"/>
                <w:sz w:val="24"/>
                <w:szCs w:val="24"/>
              </w:rPr>
              <w:t>方案满足招标文件要求，但内容存在1处瑕疵：6分；</w:t>
            </w:r>
          </w:p>
          <w:p>
            <w:pPr>
              <w:autoSpaceDE w:val="0"/>
              <w:autoSpaceDN w:val="0"/>
              <w:adjustRightInd w:val="0"/>
              <w:snapToGrid w:val="0"/>
              <w:rPr>
                <w:kern w:val="0"/>
                <w:sz w:val="24"/>
                <w:szCs w:val="24"/>
              </w:rPr>
            </w:pPr>
            <w:r>
              <w:rPr>
                <w:rFonts w:hint="eastAsia"/>
                <w:kern w:val="0"/>
                <w:sz w:val="24"/>
                <w:szCs w:val="24"/>
              </w:rPr>
              <w:t>方案满足招标文件要求，但内容存在2处瑕疵：4分；</w:t>
            </w:r>
          </w:p>
          <w:p>
            <w:pPr>
              <w:autoSpaceDE w:val="0"/>
              <w:autoSpaceDN w:val="0"/>
              <w:adjustRightInd w:val="0"/>
              <w:snapToGrid w:val="0"/>
              <w:rPr>
                <w:kern w:val="0"/>
                <w:sz w:val="24"/>
                <w:szCs w:val="24"/>
              </w:rPr>
            </w:pPr>
            <w:r>
              <w:rPr>
                <w:rFonts w:hint="eastAsia"/>
                <w:kern w:val="0"/>
                <w:sz w:val="24"/>
                <w:szCs w:val="24"/>
              </w:rPr>
              <w:t>其他：0分。</w:t>
            </w:r>
          </w:p>
        </w:tc>
        <w:tc>
          <w:tcPr>
            <w:tcW w:w="1143" w:type="dxa"/>
            <w:shd w:val="clear" w:color="auto" w:fill="auto"/>
            <w:vAlign w:val="center"/>
          </w:tcPr>
          <w:p>
            <w:pPr>
              <w:tabs>
                <w:tab w:val="center" w:pos="4153"/>
                <w:tab w:val="right" w:pos="8306"/>
              </w:tabs>
              <w:adjustRightInd w:val="0"/>
              <w:snapToGrid w:val="0"/>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3</w:t>
            </w:r>
          </w:p>
        </w:tc>
        <w:tc>
          <w:tcPr>
            <w:tcW w:w="1419" w:type="dxa"/>
            <w:shd w:val="clear" w:color="auto" w:fill="auto"/>
            <w:vAlign w:val="center"/>
          </w:tcPr>
          <w:p>
            <w:pPr>
              <w:widowControl/>
              <w:adjustRightInd w:val="0"/>
              <w:snapToGrid w:val="0"/>
              <w:jc w:val="center"/>
              <w:rPr>
                <w:kern w:val="0"/>
                <w:sz w:val="24"/>
                <w:szCs w:val="24"/>
              </w:rPr>
            </w:pPr>
            <w:r>
              <w:rPr>
                <w:rFonts w:hint="eastAsia"/>
                <w:kern w:val="0"/>
                <w:sz w:val="24"/>
                <w:szCs w:val="24"/>
              </w:rPr>
              <w:t>对项目重点、难点的理解评价</w:t>
            </w:r>
          </w:p>
        </w:tc>
        <w:tc>
          <w:tcPr>
            <w:tcW w:w="7311" w:type="dxa"/>
            <w:shd w:val="clear" w:color="auto" w:fill="auto"/>
            <w:vAlign w:val="center"/>
          </w:tcPr>
          <w:p>
            <w:pPr>
              <w:widowControl/>
              <w:adjustRightInd w:val="0"/>
              <w:snapToGrid w:val="0"/>
              <w:rPr>
                <w:rFonts w:hAnsi="宋体"/>
                <w:kern w:val="0"/>
                <w:sz w:val="24"/>
              </w:rPr>
            </w:pPr>
            <w:r>
              <w:rPr>
                <w:rFonts w:hint="eastAsia" w:hAnsi="宋体"/>
                <w:kern w:val="0"/>
                <w:sz w:val="24"/>
              </w:rPr>
              <w:t>对项目重点、难点理解准确，能完全满足项目要求：8分；</w:t>
            </w:r>
          </w:p>
          <w:p>
            <w:pPr>
              <w:widowControl/>
              <w:adjustRightInd w:val="0"/>
              <w:snapToGrid w:val="0"/>
              <w:rPr>
                <w:rFonts w:hAnsi="宋体"/>
                <w:kern w:val="0"/>
                <w:sz w:val="24"/>
              </w:rPr>
            </w:pPr>
            <w:r>
              <w:rPr>
                <w:rFonts w:hint="eastAsia"/>
                <w:kern w:val="0"/>
                <w:sz w:val="24"/>
                <w:szCs w:val="24"/>
              </w:rPr>
              <w:t>理解满足招标文件要求，但内容存在1处瑕疵</w:t>
            </w:r>
            <w:r>
              <w:rPr>
                <w:rFonts w:hint="eastAsia" w:hAnsi="宋体"/>
                <w:kern w:val="0"/>
                <w:sz w:val="24"/>
              </w:rPr>
              <w:t>：6分；</w:t>
            </w:r>
          </w:p>
          <w:p>
            <w:pPr>
              <w:widowControl/>
              <w:adjustRightInd w:val="0"/>
              <w:snapToGrid w:val="0"/>
              <w:rPr>
                <w:rFonts w:hAnsi="宋体"/>
                <w:kern w:val="0"/>
                <w:sz w:val="24"/>
              </w:rPr>
            </w:pPr>
            <w:r>
              <w:rPr>
                <w:rFonts w:hint="eastAsia"/>
                <w:kern w:val="0"/>
                <w:sz w:val="24"/>
                <w:szCs w:val="24"/>
              </w:rPr>
              <w:t>理解满足招标文件要求，但内容存在2处瑕疵</w:t>
            </w:r>
            <w:r>
              <w:rPr>
                <w:rFonts w:hint="eastAsia" w:hAnsi="宋体"/>
                <w:kern w:val="0"/>
                <w:sz w:val="24"/>
              </w:rPr>
              <w:t>：4分；</w:t>
            </w:r>
          </w:p>
          <w:p>
            <w:pPr>
              <w:widowControl/>
              <w:adjustRightInd w:val="0"/>
              <w:snapToGrid w:val="0"/>
              <w:rPr>
                <w:kern w:val="0"/>
                <w:sz w:val="24"/>
                <w:szCs w:val="24"/>
              </w:rPr>
            </w:pPr>
            <w:r>
              <w:rPr>
                <w:rFonts w:hint="eastAsia" w:hAnsi="宋体"/>
                <w:kern w:val="0"/>
                <w:sz w:val="24"/>
              </w:rPr>
              <w:t>其他：0分。</w:t>
            </w:r>
          </w:p>
        </w:tc>
        <w:tc>
          <w:tcPr>
            <w:tcW w:w="1143" w:type="dxa"/>
            <w:shd w:val="clear" w:color="auto" w:fill="auto"/>
            <w:vAlign w:val="center"/>
          </w:tcPr>
          <w:p>
            <w:pPr>
              <w:adjustRightInd w:val="0"/>
              <w:snapToGrid w:val="0"/>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4</w:t>
            </w:r>
          </w:p>
        </w:tc>
        <w:tc>
          <w:tcPr>
            <w:tcW w:w="1419" w:type="dxa"/>
            <w:shd w:val="clear" w:color="auto" w:fill="auto"/>
            <w:vAlign w:val="center"/>
          </w:tcPr>
          <w:p>
            <w:pPr>
              <w:widowControl/>
              <w:tabs>
                <w:tab w:val="center" w:pos="4153"/>
                <w:tab w:val="right" w:pos="8306"/>
              </w:tabs>
              <w:adjustRightInd w:val="0"/>
              <w:snapToGrid w:val="0"/>
              <w:jc w:val="center"/>
              <w:rPr>
                <w:kern w:val="0"/>
                <w:sz w:val="24"/>
                <w:szCs w:val="24"/>
              </w:rPr>
            </w:pPr>
            <w:r>
              <w:rPr>
                <w:rFonts w:hint="eastAsia"/>
                <w:kern w:val="0"/>
                <w:sz w:val="24"/>
                <w:szCs w:val="24"/>
              </w:rPr>
              <w:t>进度安排评价</w:t>
            </w:r>
          </w:p>
        </w:tc>
        <w:tc>
          <w:tcPr>
            <w:tcW w:w="7311" w:type="dxa"/>
            <w:shd w:val="clear" w:color="auto" w:fill="auto"/>
            <w:vAlign w:val="center"/>
          </w:tcPr>
          <w:p>
            <w:pPr>
              <w:widowControl/>
              <w:tabs>
                <w:tab w:val="center" w:pos="4153"/>
                <w:tab w:val="right" w:pos="8306"/>
              </w:tabs>
              <w:adjustRightInd w:val="0"/>
              <w:snapToGrid w:val="0"/>
              <w:rPr>
                <w:kern w:val="0"/>
                <w:sz w:val="24"/>
                <w:szCs w:val="24"/>
              </w:rPr>
            </w:pPr>
            <w:r>
              <w:rPr>
                <w:rFonts w:hint="eastAsia"/>
                <w:kern w:val="0"/>
                <w:sz w:val="24"/>
                <w:szCs w:val="24"/>
              </w:rPr>
              <w:t>进度安排合理、进度计划详细、可操作性强：8分；</w:t>
            </w:r>
          </w:p>
          <w:p>
            <w:pPr>
              <w:widowControl/>
              <w:tabs>
                <w:tab w:val="center" w:pos="4153"/>
                <w:tab w:val="right" w:pos="8306"/>
              </w:tabs>
              <w:adjustRightInd w:val="0"/>
              <w:snapToGrid w:val="0"/>
              <w:rPr>
                <w:kern w:val="0"/>
                <w:sz w:val="24"/>
                <w:szCs w:val="24"/>
              </w:rPr>
            </w:pPr>
            <w:r>
              <w:rPr>
                <w:rFonts w:hint="eastAsia"/>
                <w:kern w:val="0"/>
                <w:sz w:val="24"/>
                <w:szCs w:val="24"/>
              </w:rPr>
              <w:t>进度安排满足招标文件要求，但内容存在1处瑕疵：6分；</w:t>
            </w:r>
          </w:p>
          <w:p>
            <w:pPr>
              <w:widowControl/>
              <w:tabs>
                <w:tab w:val="center" w:pos="4153"/>
                <w:tab w:val="right" w:pos="8306"/>
              </w:tabs>
              <w:adjustRightInd w:val="0"/>
              <w:snapToGrid w:val="0"/>
              <w:rPr>
                <w:kern w:val="0"/>
                <w:sz w:val="24"/>
                <w:szCs w:val="24"/>
              </w:rPr>
            </w:pPr>
            <w:r>
              <w:rPr>
                <w:rFonts w:hint="eastAsia"/>
                <w:kern w:val="0"/>
                <w:sz w:val="24"/>
                <w:szCs w:val="24"/>
              </w:rPr>
              <w:t>进度安排满足招标文件要求，但内容存在2处瑕疵：4分；</w:t>
            </w:r>
          </w:p>
          <w:p>
            <w:pPr>
              <w:widowControl/>
              <w:tabs>
                <w:tab w:val="center" w:pos="4153"/>
                <w:tab w:val="right" w:pos="8306"/>
              </w:tabs>
              <w:adjustRightInd w:val="0"/>
              <w:snapToGrid w:val="0"/>
              <w:rPr>
                <w:sz w:val="24"/>
                <w:szCs w:val="24"/>
              </w:rPr>
            </w:pPr>
            <w:r>
              <w:rPr>
                <w:rFonts w:hint="eastAsia"/>
                <w:kern w:val="0"/>
                <w:sz w:val="24"/>
                <w:szCs w:val="24"/>
              </w:rPr>
              <w:t>其他：0分。</w:t>
            </w:r>
          </w:p>
        </w:tc>
        <w:tc>
          <w:tcPr>
            <w:tcW w:w="1143" w:type="dxa"/>
            <w:shd w:val="clear" w:color="auto" w:fill="auto"/>
            <w:vAlign w:val="center"/>
          </w:tcPr>
          <w:p>
            <w:pPr>
              <w:tabs>
                <w:tab w:val="center" w:pos="4153"/>
                <w:tab w:val="right" w:pos="8306"/>
              </w:tabs>
              <w:adjustRightInd w:val="0"/>
              <w:snapToGrid w:val="0"/>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5</w:t>
            </w:r>
          </w:p>
        </w:tc>
        <w:tc>
          <w:tcPr>
            <w:tcW w:w="1419" w:type="dxa"/>
            <w:shd w:val="clear" w:color="auto" w:fill="auto"/>
            <w:vAlign w:val="center"/>
          </w:tcPr>
          <w:p>
            <w:pPr>
              <w:widowControl/>
              <w:adjustRightInd w:val="0"/>
              <w:snapToGrid w:val="0"/>
              <w:jc w:val="center"/>
              <w:rPr>
                <w:kern w:val="0"/>
                <w:sz w:val="24"/>
                <w:szCs w:val="24"/>
              </w:rPr>
            </w:pPr>
            <w:r>
              <w:rPr>
                <w:rFonts w:hint="eastAsia"/>
                <w:kern w:val="0"/>
                <w:sz w:val="24"/>
                <w:szCs w:val="24"/>
              </w:rPr>
              <w:t>服务过程质量保证措施评价</w:t>
            </w:r>
          </w:p>
        </w:tc>
        <w:tc>
          <w:tcPr>
            <w:tcW w:w="7311" w:type="dxa"/>
            <w:shd w:val="clear" w:color="auto" w:fill="auto"/>
            <w:vAlign w:val="center"/>
          </w:tcPr>
          <w:p>
            <w:pPr>
              <w:widowControl/>
              <w:tabs>
                <w:tab w:val="center" w:pos="4153"/>
                <w:tab w:val="right" w:pos="8306"/>
              </w:tabs>
              <w:adjustRightInd w:val="0"/>
              <w:snapToGrid w:val="0"/>
              <w:rPr>
                <w:kern w:val="0"/>
                <w:sz w:val="24"/>
                <w:szCs w:val="24"/>
              </w:rPr>
            </w:pPr>
            <w:r>
              <w:rPr>
                <w:rFonts w:hint="eastAsia"/>
                <w:kern w:val="0"/>
                <w:sz w:val="24"/>
                <w:szCs w:val="24"/>
              </w:rPr>
              <w:t>体系完整，措施有力：8分；</w:t>
            </w:r>
          </w:p>
          <w:p>
            <w:pPr>
              <w:widowControl/>
              <w:tabs>
                <w:tab w:val="center" w:pos="4153"/>
                <w:tab w:val="right" w:pos="8306"/>
              </w:tabs>
              <w:adjustRightInd w:val="0"/>
              <w:snapToGrid w:val="0"/>
              <w:rPr>
                <w:kern w:val="0"/>
                <w:sz w:val="24"/>
                <w:szCs w:val="24"/>
              </w:rPr>
            </w:pPr>
            <w:r>
              <w:rPr>
                <w:rFonts w:hint="eastAsia"/>
                <w:kern w:val="0"/>
                <w:sz w:val="24"/>
                <w:szCs w:val="24"/>
              </w:rPr>
              <w:t>措施满足招标文件要求，但内容存在1处瑕疵：6分；</w:t>
            </w:r>
          </w:p>
          <w:p>
            <w:pPr>
              <w:widowControl/>
              <w:tabs>
                <w:tab w:val="center" w:pos="4153"/>
                <w:tab w:val="right" w:pos="8306"/>
              </w:tabs>
              <w:adjustRightInd w:val="0"/>
              <w:snapToGrid w:val="0"/>
              <w:rPr>
                <w:kern w:val="0"/>
                <w:sz w:val="24"/>
                <w:szCs w:val="24"/>
              </w:rPr>
            </w:pPr>
            <w:r>
              <w:rPr>
                <w:rFonts w:hint="eastAsia"/>
                <w:kern w:val="0"/>
                <w:sz w:val="24"/>
                <w:szCs w:val="24"/>
              </w:rPr>
              <w:t>措施满足招标文件要求，但内容存在2处瑕疵：4分；</w:t>
            </w:r>
          </w:p>
          <w:p>
            <w:pPr>
              <w:widowControl/>
              <w:tabs>
                <w:tab w:val="center" w:pos="4153"/>
                <w:tab w:val="right" w:pos="8306"/>
              </w:tabs>
              <w:adjustRightInd w:val="0"/>
              <w:snapToGrid w:val="0"/>
              <w:rPr>
                <w:kern w:val="0"/>
                <w:sz w:val="24"/>
                <w:szCs w:val="24"/>
              </w:rPr>
            </w:pPr>
            <w:r>
              <w:rPr>
                <w:rFonts w:hint="eastAsia"/>
                <w:kern w:val="0"/>
                <w:sz w:val="24"/>
                <w:szCs w:val="24"/>
              </w:rPr>
              <w:t>其他0分。</w:t>
            </w:r>
          </w:p>
        </w:tc>
        <w:tc>
          <w:tcPr>
            <w:tcW w:w="1143" w:type="dxa"/>
            <w:shd w:val="clear" w:color="auto" w:fill="auto"/>
            <w:vAlign w:val="center"/>
          </w:tcPr>
          <w:p>
            <w:pPr>
              <w:widowControl/>
              <w:adjustRightInd w:val="0"/>
              <w:snapToGrid w:val="0"/>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rFonts w:hint="eastAsia"/>
                <w:kern w:val="0"/>
                <w:sz w:val="24"/>
                <w:szCs w:val="24"/>
              </w:rPr>
              <w:t>6</w:t>
            </w:r>
          </w:p>
        </w:tc>
        <w:tc>
          <w:tcPr>
            <w:tcW w:w="1419" w:type="dxa"/>
            <w:shd w:val="clear" w:color="auto" w:fill="auto"/>
            <w:vAlign w:val="center"/>
          </w:tcPr>
          <w:p>
            <w:pPr>
              <w:widowControl/>
              <w:adjustRightInd w:val="0"/>
              <w:snapToGrid w:val="0"/>
              <w:jc w:val="center"/>
              <w:rPr>
                <w:kern w:val="0"/>
                <w:sz w:val="24"/>
                <w:szCs w:val="24"/>
              </w:rPr>
            </w:pPr>
            <w:r>
              <w:rPr>
                <w:rFonts w:hint="eastAsia"/>
                <w:kern w:val="0"/>
                <w:sz w:val="24"/>
                <w:szCs w:val="24"/>
              </w:rPr>
              <w:t>在服务过程中，与采购人配合、沟通方案评价</w:t>
            </w:r>
          </w:p>
        </w:tc>
        <w:tc>
          <w:tcPr>
            <w:tcW w:w="7311" w:type="dxa"/>
            <w:shd w:val="clear" w:color="auto" w:fill="auto"/>
            <w:vAlign w:val="center"/>
          </w:tcPr>
          <w:p>
            <w:pPr>
              <w:widowControl/>
              <w:adjustRightInd w:val="0"/>
              <w:snapToGrid w:val="0"/>
              <w:rPr>
                <w:kern w:val="0"/>
                <w:sz w:val="24"/>
                <w:szCs w:val="24"/>
              </w:rPr>
            </w:pPr>
            <w:r>
              <w:rPr>
                <w:rFonts w:hint="eastAsia"/>
                <w:kern w:val="0"/>
                <w:sz w:val="24"/>
                <w:szCs w:val="24"/>
              </w:rPr>
              <w:t>有专人定期与采购人沟通，配合、沟通方案详细、可行性强：8分；</w:t>
            </w:r>
          </w:p>
          <w:p>
            <w:pPr>
              <w:widowControl/>
              <w:adjustRightInd w:val="0"/>
              <w:snapToGrid w:val="0"/>
              <w:rPr>
                <w:kern w:val="0"/>
                <w:sz w:val="24"/>
                <w:szCs w:val="24"/>
              </w:rPr>
            </w:pPr>
            <w:r>
              <w:rPr>
                <w:rFonts w:hint="eastAsia"/>
                <w:kern w:val="0"/>
                <w:sz w:val="24"/>
                <w:szCs w:val="24"/>
              </w:rPr>
              <w:t>有专人定期与采购人沟通，配合、沟通方案满足招标文件要求，但存在1处瑕疵：6分；</w:t>
            </w:r>
          </w:p>
          <w:p>
            <w:pPr>
              <w:widowControl/>
              <w:adjustRightInd w:val="0"/>
              <w:snapToGrid w:val="0"/>
              <w:rPr>
                <w:kern w:val="0"/>
                <w:sz w:val="24"/>
                <w:szCs w:val="24"/>
              </w:rPr>
            </w:pPr>
            <w:r>
              <w:rPr>
                <w:rFonts w:hint="eastAsia"/>
                <w:kern w:val="0"/>
                <w:sz w:val="24"/>
                <w:szCs w:val="24"/>
              </w:rPr>
              <w:t>有专人定期与采购人沟通，配合、沟通方案满足招标文件要求，但存在2处瑕疵：4分；</w:t>
            </w:r>
          </w:p>
          <w:p>
            <w:pPr>
              <w:widowControl/>
              <w:adjustRightInd w:val="0"/>
              <w:snapToGrid w:val="0"/>
              <w:rPr>
                <w:kern w:val="0"/>
                <w:sz w:val="24"/>
                <w:szCs w:val="24"/>
              </w:rPr>
            </w:pPr>
            <w:r>
              <w:rPr>
                <w:rFonts w:hint="eastAsia"/>
                <w:kern w:val="0"/>
                <w:sz w:val="24"/>
                <w:szCs w:val="24"/>
              </w:rPr>
              <w:t>其他：0分。</w:t>
            </w:r>
          </w:p>
        </w:tc>
        <w:tc>
          <w:tcPr>
            <w:tcW w:w="1143" w:type="dxa"/>
            <w:shd w:val="clear" w:color="auto" w:fill="auto"/>
            <w:vAlign w:val="center"/>
          </w:tcPr>
          <w:p>
            <w:pPr>
              <w:widowControl/>
              <w:adjustRightInd w:val="0"/>
              <w:snapToGrid w:val="0"/>
              <w:jc w:val="center"/>
              <w:rPr>
                <w:kern w:val="0"/>
                <w:sz w:val="24"/>
                <w:szCs w:val="24"/>
              </w:rPr>
            </w:pPr>
            <w:r>
              <w:rPr>
                <w:rFonts w:hint="eastAsia"/>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jc w:val="center"/>
              <w:rPr>
                <w:kern w:val="0"/>
                <w:sz w:val="24"/>
                <w:szCs w:val="24"/>
              </w:rPr>
            </w:pPr>
            <w:r>
              <w:rPr>
                <w:kern w:val="0"/>
                <w:sz w:val="24"/>
                <w:szCs w:val="24"/>
              </w:rPr>
              <w:t>7</w:t>
            </w:r>
          </w:p>
        </w:tc>
        <w:tc>
          <w:tcPr>
            <w:tcW w:w="1419" w:type="dxa"/>
            <w:shd w:val="clear" w:color="auto" w:fill="auto"/>
            <w:vAlign w:val="center"/>
          </w:tcPr>
          <w:p>
            <w:pPr>
              <w:widowControl/>
              <w:adjustRightInd w:val="0"/>
              <w:snapToGrid w:val="0"/>
              <w:rPr>
                <w:kern w:val="0"/>
                <w:sz w:val="24"/>
                <w:szCs w:val="24"/>
              </w:rPr>
            </w:pPr>
            <w:r>
              <w:rPr>
                <w:kern w:val="0"/>
                <w:sz w:val="24"/>
                <w:szCs w:val="24"/>
              </w:rPr>
              <w:t>应急预案</w:t>
            </w:r>
          </w:p>
        </w:tc>
        <w:tc>
          <w:tcPr>
            <w:tcW w:w="7311" w:type="dxa"/>
            <w:shd w:val="clear" w:color="auto" w:fill="auto"/>
            <w:vAlign w:val="center"/>
          </w:tcPr>
          <w:p>
            <w:pPr>
              <w:widowControl/>
              <w:adjustRightInd w:val="0"/>
              <w:snapToGrid w:val="0"/>
              <w:rPr>
                <w:kern w:val="0"/>
                <w:sz w:val="24"/>
                <w:szCs w:val="24"/>
              </w:rPr>
            </w:pPr>
            <w:r>
              <w:rPr>
                <w:kern w:val="0"/>
                <w:sz w:val="24"/>
                <w:szCs w:val="24"/>
              </w:rPr>
              <w:t>应急预案实用，经济，切实可行：</w:t>
            </w:r>
            <w:r>
              <w:rPr>
                <w:rFonts w:hint="eastAsia"/>
                <w:kern w:val="0"/>
                <w:sz w:val="24"/>
                <w:szCs w:val="24"/>
              </w:rPr>
              <w:t>4</w:t>
            </w:r>
            <w:r>
              <w:rPr>
                <w:kern w:val="0"/>
                <w:sz w:val="24"/>
                <w:szCs w:val="24"/>
              </w:rPr>
              <w:t>分</w:t>
            </w:r>
            <w:r>
              <w:rPr>
                <w:rFonts w:hint="eastAsia"/>
                <w:kern w:val="0"/>
                <w:sz w:val="24"/>
                <w:szCs w:val="24"/>
              </w:rPr>
              <w:t>；</w:t>
            </w:r>
          </w:p>
          <w:p>
            <w:pPr>
              <w:widowControl/>
              <w:adjustRightInd w:val="0"/>
              <w:snapToGrid w:val="0"/>
              <w:rPr>
                <w:kern w:val="0"/>
                <w:sz w:val="24"/>
                <w:szCs w:val="24"/>
              </w:rPr>
            </w:pPr>
            <w:r>
              <w:rPr>
                <w:kern w:val="0"/>
                <w:sz w:val="24"/>
                <w:szCs w:val="24"/>
              </w:rPr>
              <w:t>应急预案</w:t>
            </w:r>
            <w:r>
              <w:rPr>
                <w:rFonts w:hint="eastAsia"/>
                <w:kern w:val="0"/>
                <w:sz w:val="24"/>
                <w:szCs w:val="24"/>
              </w:rPr>
              <w:t>满足招标文件要求，但内容存在1处瑕疵</w:t>
            </w:r>
            <w:r>
              <w:rPr>
                <w:kern w:val="0"/>
                <w:sz w:val="24"/>
                <w:szCs w:val="24"/>
              </w:rPr>
              <w:t>：3分</w:t>
            </w:r>
            <w:r>
              <w:rPr>
                <w:rFonts w:hint="eastAsia"/>
                <w:kern w:val="0"/>
                <w:sz w:val="24"/>
                <w:szCs w:val="24"/>
              </w:rPr>
              <w:t>；</w:t>
            </w:r>
          </w:p>
          <w:p>
            <w:pPr>
              <w:widowControl/>
              <w:adjustRightInd w:val="0"/>
              <w:snapToGrid w:val="0"/>
              <w:rPr>
                <w:kern w:val="0"/>
                <w:sz w:val="24"/>
                <w:szCs w:val="24"/>
              </w:rPr>
            </w:pPr>
            <w:r>
              <w:rPr>
                <w:kern w:val="0"/>
                <w:sz w:val="24"/>
                <w:szCs w:val="24"/>
              </w:rPr>
              <w:t>应急预案</w:t>
            </w:r>
            <w:r>
              <w:rPr>
                <w:rFonts w:hint="eastAsia"/>
                <w:kern w:val="0"/>
                <w:sz w:val="24"/>
                <w:szCs w:val="24"/>
              </w:rPr>
              <w:t>满足招标文件要求，但内容存在2处瑕疵</w:t>
            </w:r>
            <w:r>
              <w:rPr>
                <w:kern w:val="0"/>
                <w:sz w:val="24"/>
                <w:szCs w:val="24"/>
              </w:rPr>
              <w:t>：</w:t>
            </w:r>
            <w:r>
              <w:rPr>
                <w:rFonts w:hint="eastAsia"/>
                <w:kern w:val="0"/>
                <w:sz w:val="24"/>
                <w:szCs w:val="24"/>
              </w:rPr>
              <w:t>2</w:t>
            </w:r>
            <w:r>
              <w:rPr>
                <w:kern w:val="0"/>
                <w:sz w:val="24"/>
                <w:szCs w:val="24"/>
              </w:rPr>
              <w:t>分</w:t>
            </w:r>
            <w:r>
              <w:rPr>
                <w:rFonts w:hint="eastAsia"/>
                <w:kern w:val="0"/>
                <w:sz w:val="24"/>
                <w:szCs w:val="24"/>
              </w:rPr>
              <w:t>；</w:t>
            </w:r>
          </w:p>
          <w:p>
            <w:pPr>
              <w:widowControl/>
              <w:adjustRightInd w:val="0"/>
              <w:snapToGrid w:val="0"/>
              <w:rPr>
                <w:kern w:val="0"/>
                <w:sz w:val="24"/>
                <w:szCs w:val="24"/>
              </w:rPr>
            </w:pPr>
            <w:r>
              <w:rPr>
                <w:rFonts w:hint="eastAsia"/>
                <w:kern w:val="0"/>
                <w:sz w:val="24"/>
                <w:szCs w:val="24"/>
              </w:rPr>
              <w:t>其他：</w:t>
            </w:r>
            <w:r>
              <w:rPr>
                <w:kern w:val="0"/>
                <w:sz w:val="24"/>
                <w:szCs w:val="24"/>
              </w:rPr>
              <w:t>0分</w:t>
            </w:r>
            <w:r>
              <w:rPr>
                <w:rFonts w:hint="eastAsia"/>
                <w:kern w:val="0"/>
                <w:sz w:val="24"/>
                <w:szCs w:val="24"/>
              </w:rPr>
              <w:t>。</w:t>
            </w:r>
          </w:p>
        </w:tc>
        <w:tc>
          <w:tcPr>
            <w:tcW w:w="1143" w:type="dxa"/>
            <w:shd w:val="clear" w:color="auto" w:fill="auto"/>
            <w:vAlign w:val="center"/>
          </w:tcPr>
          <w:p>
            <w:pPr>
              <w:widowControl/>
              <w:jc w:val="center"/>
              <w:rPr>
                <w:kern w:val="0"/>
                <w:sz w:val="24"/>
                <w:szCs w:val="24"/>
              </w:rPr>
            </w:pPr>
            <w:r>
              <w:rPr>
                <w:rFonts w:hint="eastAsia"/>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shd w:val="clear" w:color="auto" w:fill="auto"/>
            <w:noWrap/>
            <w:vAlign w:val="center"/>
          </w:tcPr>
          <w:p>
            <w:pPr>
              <w:widowControl/>
              <w:spacing w:line="400" w:lineRule="exact"/>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合计</w:t>
            </w:r>
          </w:p>
        </w:tc>
        <w:tc>
          <w:tcPr>
            <w:tcW w:w="1143" w:type="dxa"/>
            <w:shd w:val="clear" w:color="auto" w:fill="auto"/>
            <w:vAlign w:val="center"/>
          </w:tcPr>
          <w:p>
            <w:pPr>
              <w:widowControl/>
              <w:jc w:val="center"/>
              <w:rPr>
                <w:color w:val="000000"/>
                <w:kern w:val="0"/>
                <w:sz w:val="24"/>
                <w:szCs w:val="24"/>
              </w:rPr>
            </w:pPr>
            <w:r>
              <w:rPr>
                <w:color w:val="000000"/>
                <w:kern w:val="0"/>
                <w:sz w:val="24"/>
                <w:szCs w:val="24"/>
              </w:rPr>
              <w:t>100</w:t>
            </w:r>
          </w:p>
        </w:tc>
      </w:tr>
    </w:tbl>
    <w:p>
      <w:pPr>
        <w:spacing w:line="360" w:lineRule="auto"/>
        <w:ind w:firstLine="448" w:firstLineChars="200"/>
        <w:outlineLvl w:val="0"/>
        <w:rPr>
          <w:sz w:val="24"/>
        </w:rPr>
      </w:pPr>
      <w:r>
        <w:rPr>
          <w:sz w:val="24"/>
        </w:rPr>
        <w:t>四、投标文件内容要求</w:t>
      </w:r>
    </w:p>
    <w:p>
      <w:pPr>
        <w:spacing w:line="360" w:lineRule="auto"/>
        <w:ind w:firstLine="448" w:firstLineChars="200"/>
        <w:outlineLvl w:val="0"/>
        <w:rPr>
          <w:sz w:val="24"/>
        </w:rPr>
      </w:pPr>
      <w:r>
        <w:rPr>
          <w:rFonts w:hint="eastAsia"/>
          <w:sz w:val="24"/>
        </w:rPr>
        <w:t>（一）</w:t>
      </w:r>
      <w:r>
        <w:rPr>
          <w:sz w:val="24"/>
        </w:rPr>
        <w:t>投标人须按照《投标须知》“C 投标文件的编制”中的相关要求编制投标文件</w:t>
      </w:r>
      <w:r>
        <w:rPr>
          <w:rFonts w:hint="eastAsia"/>
          <w:sz w:val="24"/>
        </w:rPr>
        <w:t>。</w:t>
      </w:r>
    </w:p>
    <w:p>
      <w:pPr>
        <w:spacing w:line="360" w:lineRule="auto"/>
        <w:ind w:firstLine="448" w:firstLineChars="200"/>
        <w:outlineLvl w:val="0"/>
        <w:rPr>
          <w:sz w:val="24"/>
        </w:rPr>
      </w:pPr>
      <w:r>
        <w:rPr>
          <w:rFonts w:hint="eastAsia"/>
          <w:sz w:val="24"/>
        </w:rPr>
        <w:t>（二）</w:t>
      </w:r>
      <w:r>
        <w:rPr>
          <w:sz w:val="24"/>
        </w:rPr>
        <w:t>投标文件</w:t>
      </w:r>
      <w:r>
        <w:rPr>
          <w:rFonts w:hint="eastAsia"/>
          <w:sz w:val="24"/>
        </w:rPr>
        <w:t>格式参照第五部分“投标文件格式”。</w:t>
      </w:r>
    </w:p>
    <w:p>
      <w:pPr>
        <w:spacing w:line="360" w:lineRule="auto"/>
        <w:ind w:firstLine="448" w:firstLineChars="200"/>
        <w:outlineLvl w:val="0"/>
        <w:rPr>
          <w:sz w:val="24"/>
        </w:rPr>
      </w:pPr>
    </w:p>
    <w:p>
      <w:pPr>
        <w:spacing w:line="360" w:lineRule="auto"/>
        <w:ind w:firstLine="448" w:firstLineChars="200"/>
        <w:outlineLvl w:val="0"/>
        <w:rPr>
          <w:sz w:val="24"/>
        </w:rPr>
      </w:pPr>
    </w:p>
    <w:p>
      <w:pPr>
        <w:spacing w:line="360" w:lineRule="auto"/>
        <w:jc w:val="center"/>
        <w:rPr>
          <w:b/>
          <w:sz w:val="24"/>
        </w:rPr>
      </w:pPr>
      <w:r>
        <w:rPr>
          <w:sz w:val="24"/>
          <w:u w:val="single"/>
        </w:rPr>
        <w:br w:type="page"/>
      </w:r>
      <w:r>
        <w:rPr>
          <w:b/>
          <w:sz w:val="24"/>
        </w:rPr>
        <w:t>项目需求书</w:t>
      </w:r>
    </w:p>
    <w:p>
      <w:pPr>
        <w:widowControl/>
        <w:ind w:firstLine="448" w:firstLineChars="200"/>
        <w:jc w:val="left"/>
        <w:rPr>
          <w:sz w:val="24"/>
        </w:rPr>
      </w:pPr>
      <w:r>
        <w:rPr>
          <w:rFonts w:hint="eastAsia"/>
          <w:sz w:val="24"/>
        </w:rPr>
        <w:t>一、项目背景</w:t>
      </w:r>
    </w:p>
    <w:p>
      <w:pPr>
        <w:widowControl/>
        <w:ind w:firstLine="448" w:firstLineChars="200"/>
        <w:jc w:val="left"/>
        <w:rPr>
          <w:sz w:val="24"/>
        </w:rPr>
      </w:pPr>
      <w:r>
        <w:rPr>
          <w:rFonts w:hint="eastAsia"/>
          <w:sz w:val="24"/>
        </w:rPr>
        <w:t>本项目主要包括天津市环境空气质量信息发布（视频监控、综合观测实验室数据采集和传输、动力环境系统监控、街镇自动监测数据上报分析、环境空气质量审核与日报、环境空气质量信息发布、环境空气质量分析与预报、小尺度环境空气质量空间分析及模拟数据综合分析等）系统运行维护和小尺度模型计算技术支持服务，保证天津市环境空气监测数据审核和质量评价工作正常运行，保证环境空气质量分析和预报工作正常开展。</w:t>
      </w:r>
    </w:p>
    <w:p>
      <w:pPr>
        <w:widowControl/>
        <w:ind w:firstLine="448" w:firstLineChars="200"/>
        <w:jc w:val="left"/>
        <w:rPr>
          <w:sz w:val="24"/>
        </w:rPr>
      </w:pPr>
      <w:r>
        <w:rPr>
          <w:rFonts w:hint="eastAsia"/>
          <w:sz w:val="24"/>
        </w:rPr>
        <w:t>本项目属于水利、环境和公共设施管理业。</w:t>
      </w:r>
    </w:p>
    <w:p>
      <w:pPr>
        <w:widowControl/>
        <w:ind w:firstLine="448" w:firstLineChars="200"/>
        <w:jc w:val="left"/>
        <w:rPr>
          <w:sz w:val="24"/>
        </w:rPr>
      </w:pPr>
      <w:r>
        <w:rPr>
          <w:rFonts w:hint="eastAsia"/>
          <w:sz w:val="24"/>
        </w:rPr>
        <w:t>二、技术要求</w:t>
      </w:r>
    </w:p>
    <w:p>
      <w:pPr>
        <w:widowControl/>
        <w:ind w:firstLine="224" w:firstLineChars="100"/>
        <w:jc w:val="left"/>
        <w:rPr>
          <w:sz w:val="24"/>
        </w:rPr>
      </w:pPr>
      <w:r>
        <w:rPr>
          <w:rFonts w:hint="eastAsia"/>
          <w:sz w:val="24"/>
        </w:rPr>
        <w:t>（一）硬件要求</w:t>
      </w:r>
    </w:p>
    <w:p>
      <w:pPr>
        <w:widowControl/>
        <w:ind w:firstLine="448" w:firstLineChars="200"/>
        <w:jc w:val="left"/>
        <w:rPr>
          <w:sz w:val="24"/>
        </w:rPr>
      </w:pPr>
      <w:r>
        <w:rPr>
          <w:rFonts w:hint="eastAsia"/>
          <w:sz w:val="24"/>
        </w:rPr>
        <w:t>1、</w:t>
      </w:r>
      <w:r>
        <w:rPr>
          <w:rFonts w:hint="eastAsia"/>
          <w:sz w:val="24"/>
        </w:rPr>
        <w:tab/>
      </w:r>
      <w:r>
        <w:rPr>
          <w:rFonts w:hint="eastAsia"/>
          <w:sz w:val="24"/>
        </w:rPr>
        <w:t>投标人应配备必要的专用仪器维修工具（包括便携式电脑、万用表、远程数据查询系统等）、通讯调试工具（包括各种硬件接口线、改线工具、接口调试软件及常用零部件等）。</w:t>
      </w:r>
    </w:p>
    <w:p>
      <w:pPr>
        <w:widowControl/>
        <w:ind w:firstLine="224" w:firstLineChars="100"/>
        <w:jc w:val="left"/>
        <w:rPr>
          <w:sz w:val="24"/>
        </w:rPr>
      </w:pPr>
      <w:r>
        <w:rPr>
          <w:rFonts w:hint="eastAsia"/>
          <w:sz w:val="24"/>
        </w:rPr>
        <w:t>（二）天津市环境空气质量信息发布系统运行维护</w:t>
      </w:r>
    </w:p>
    <w:p>
      <w:pPr>
        <w:widowControl/>
        <w:ind w:firstLine="448" w:firstLineChars="200"/>
        <w:jc w:val="left"/>
        <w:rPr>
          <w:sz w:val="24"/>
        </w:rPr>
      </w:pPr>
      <w:r>
        <w:rPr>
          <w:rFonts w:hint="eastAsia"/>
          <w:sz w:val="24"/>
        </w:rPr>
        <w:t>1、环境空气质量信息发布系统运行维护</w:t>
      </w:r>
    </w:p>
    <w:p>
      <w:pPr>
        <w:widowControl/>
        <w:ind w:firstLine="224" w:firstLineChars="100"/>
        <w:jc w:val="left"/>
        <w:rPr>
          <w:sz w:val="24"/>
        </w:rPr>
      </w:pPr>
      <w:r>
        <w:rPr>
          <w:rFonts w:hint="eastAsia"/>
          <w:sz w:val="24"/>
        </w:rPr>
        <w:t>（1）保证天津市环境空气质量信息发布系统（电脑版、手机客户端）正常运行；</w:t>
      </w:r>
    </w:p>
    <w:p>
      <w:pPr>
        <w:widowControl/>
        <w:ind w:firstLine="224" w:firstLineChars="100"/>
        <w:jc w:val="left"/>
        <w:rPr>
          <w:sz w:val="24"/>
        </w:rPr>
      </w:pPr>
      <w:r>
        <w:rPr>
          <w:rFonts w:hint="eastAsia"/>
          <w:sz w:val="24"/>
        </w:rPr>
        <w:t>（2）能够以列表和地图形式发布我市各点位环境质量信息；</w:t>
      </w:r>
    </w:p>
    <w:p>
      <w:pPr>
        <w:widowControl/>
        <w:ind w:firstLine="224" w:firstLineChars="100"/>
        <w:jc w:val="left"/>
        <w:rPr>
          <w:sz w:val="24"/>
        </w:rPr>
      </w:pPr>
      <w:r>
        <w:rPr>
          <w:rFonts w:hint="eastAsia"/>
          <w:sz w:val="24"/>
        </w:rPr>
        <w:t>（3）能够正常展示全市整体和各点位最近24小时环境质量趋势；</w:t>
      </w:r>
    </w:p>
    <w:p>
      <w:pPr>
        <w:widowControl/>
        <w:ind w:firstLine="224" w:firstLineChars="100"/>
        <w:jc w:val="left"/>
        <w:rPr>
          <w:sz w:val="24"/>
        </w:rPr>
      </w:pPr>
      <w:r>
        <w:rPr>
          <w:rFonts w:hint="eastAsia"/>
          <w:sz w:val="24"/>
        </w:rPr>
        <w:t>（4）能够正常发布天津市环境空气预报信息；</w:t>
      </w:r>
    </w:p>
    <w:p>
      <w:pPr>
        <w:widowControl/>
        <w:ind w:firstLine="224" w:firstLineChars="100"/>
        <w:jc w:val="left"/>
        <w:rPr>
          <w:sz w:val="24"/>
        </w:rPr>
      </w:pPr>
      <w:r>
        <w:rPr>
          <w:rFonts w:hint="eastAsia"/>
          <w:sz w:val="24"/>
        </w:rPr>
        <w:t>（5）承担环境空气质量信息发布系统运行用云服务期租用费用。</w:t>
      </w:r>
    </w:p>
    <w:p>
      <w:pPr>
        <w:widowControl/>
        <w:ind w:firstLine="448" w:firstLineChars="200"/>
        <w:jc w:val="left"/>
        <w:rPr>
          <w:sz w:val="24"/>
        </w:rPr>
      </w:pPr>
      <w:r>
        <w:rPr>
          <w:rFonts w:hint="eastAsia"/>
          <w:sz w:val="24"/>
        </w:rPr>
        <w:t>2、环境空气质量数据审核与日报系统运行维护</w:t>
      </w:r>
    </w:p>
    <w:p>
      <w:pPr>
        <w:widowControl/>
        <w:ind w:firstLine="224" w:firstLineChars="100"/>
        <w:jc w:val="left"/>
        <w:rPr>
          <w:sz w:val="24"/>
        </w:rPr>
      </w:pPr>
      <w:r>
        <w:rPr>
          <w:rFonts w:hint="eastAsia"/>
          <w:sz w:val="24"/>
        </w:rPr>
        <w:t>（1）每日查看各点位监测数据联网情况；</w:t>
      </w:r>
    </w:p>
    <w:p>
      <w:pPr>
        <w:widowControl/>
        <w:ind w:firstLine="224" w:firstLineChars="100"/>
        <w:jc w:val="left"/>
        <w:rPr>
          <w:sz w:val="24"/>
        </w:rPr>
      </w:pPr>
      <w:r>
        <w:rPr>
          <w:rFonts w:hint="eastAsia"/>
          <w:sz w:val="24"/>
        </w:rPr>
        <w:t>（2）每日查看前端的数据化采集与网络化质控软件运行状况；</w:t>
      </w:r>
    </w:p>
    <w:p>
      <w:pPr>
        <w:widowControl/>
        <w:ind w:firstLine="224" w:firstLineChars="100"/>
        <w:jc w:val="left"/>
        <w:rPr>
          <w:sz w:val="24"/>
        </w:rPr>
      </w:pPr>
      <w:r>
        <w:rPr>
          <w:rFonts w:hint="eastAsia"/>
          <w:sz w:val="24"/>
        </w:rPr>
        <w:t>（3）每日查看“状态监控模块”运行状况；</w:t>
      </w:r>
    </w:p>
    <w:p>
      <w:pPr>
        <w:widowControl/>
        <w:ind w:firstLine="224" w:firstLineChars="100"/>
        <w:jc w:val="left"/>
        <w:rPr>
          <w:sz w:val="24"/>
        </w:rPr>
      </w:pPr>
      <w:r>
        <w:rPr>
          <w:rFonts w:hint="eastAsia"/>
          <w:sz w:val="24"/>
        </w:rPr>
        <w:t>（4）保证数据补录功能正常；</w:t>
      </w:r>
    </w:p>
    <w:p>
      <w:pPr>
        <w:widowControl/>
        <w:ind w:firstLine="224" w:firstLineChars="100"/>
        <w:jc w:val="left"/>
        <w:rPr>
          <w:sz w:val="24"/>
        </w:rPr>
      </w:pPr>
      <w:r>
        <w:rPr>
          <w:rFonts w:hint="eastAsia"/>
          <w:sz w:val="24"/>
        </w:rPr>
        <w:t>（5）保证“在线质控模块”正常运行，能够对各点位气态污染物（SO2、NO2、CO、O3）监测仪进行零/跨（80%F.S.）检查和准确度检查；</w:t>
      </w:r>
    </w:p>
    <w:p>
      <w:pPr>
        <w:widowControl/>
        <w:ind w:firstLine="224" w:firstLineChars="100"/>
        <w:jc w:val="left"/>
        <w:rPr>
          <w:sz w:val="24"/>
        </w:rPr>
      </w:pPr>
      <w:r>
        <w:rPr>
          <w:rFonts w:hint="eastAsia"/>
          <w:sz w:val="24"/>
        </w:rPr>
        <w:t>（6）保证“数据审核模块”正常运行，能够正常进行各监测点位数据进行审核，并生成日报表；</w:t>
      </w:r>
    </w:p>
    <w:p>
      <w:pPr>
        <w:widowControl/>
        <w:ind w:firstLine="224" w:firstLineChars="100"/>
        <w:jc w:val="left"/>
        <w:rPr>
          <w:sz w:val="24"/>
        </w:rPr>
      </w:pPr>
      <w:r>
        <w:rPr>
          <w:rFonts w:hint="eastAsia"/>
          <w:sz w:val="24"/>
        </w:rPr>
        <w:t>（7）服务期内对本系统进行一次优化服务，保证本系统正常运行。</w:t>
      </w:r>
    </w:p>
    <w:p>
      <w:pPr>
        <w:widowControl/>
        <w:ind w:firstLine="448" w:firstLineChars="200"/>
        <w:jc w:val="left"/>
        <w:rPr>
          <w:sz w:val="24"/>
        </w:rPr>
      </w:pPr>
      <w:r>
        <w:rPr>
          <w:rFonts w:hint="eastAsia"/>
          <w:sz w:val="24"/>
        </w:rPr>
        <w:t>3、综合观测实验室数据采集和传输平台运行维护</w:t>
      </w:r>
    </w:p>
    <w:p>
      <w:pPr>
        <w:widowControl/>
        <w:ind w:firstLine="224" w:firstLineChars="100"/>
        <w:jc w:val="left"/>
        <w:rPr>
          <w:sz w:val="24"/>
        </w:rPr>
      </w:pPr>
      <w:r>
        <w:rPr>
          <w:rFonts w:hint="eastAsia"/>
          <w:sz w:val="24"/>
        </w:rPr>
        <w:t>（1）每日查看综合观测实验室各仪器设备联网和数据上传情况；</w:t>
      </w:r>
    </w:p>
    <w:p>
      <w:pPr>
        <w:widowControl/>
        <w:ind w:firstLine="224" w:firstLineChars="100"/>
        <w:jc w:val="left"/>
        <w:rPr>
          <w:sz w:val="24"/>
        </w:rPr>
      </w:pPr>
      <w:r>
        <w:rPr>
          <w:rFonts w:hint="eastAsia"/>
          <w:sz w:val="24"/>
        </w:rPr>
        <w:t>（2）保证“数据查询模块”正常运行，能够正常查询和导出综合观测实验室各组分监测数据；</w:t>
      </w:r>
    </w:p>
    <w:p>
      <w:pPr>
        <w:widowControl/>
        <w:ind w:firstLine="224" w:firstLineChars="100"/>
        <w:jc w:val="left"/>
        <w:rPr>
          <w:sz w:val="24"/>
        </w:rPr>
      </w:pPr>
      <w:r>
        <w:rPr>
          <w:rFonts w:hint="eastAsia"/>
          <w:sz w:val="24"/>
        </w:rPr>
        <w:t>（3）保证“综合分析模块”正常运行，能够正常生成数据表和分析图形；</w:t>
      </w:r>
    </w:p>
    <w:p>
      <w:pPr>
        <w:widowControl/>
        <w:ind w:firstLine="224" w:firstLineChars="100"/>
        <w:jc w:val="left"/>
        <w:rPr>
          <w:sz w:val="24"/>
        </w:rPr>
      </w:pPr>
      <w:r>
        <w:rPr>
          <w:rFonts w:hint="eastAsia"/>
          <w:sz w:val="24"/>
        </w:rPr>
        <w:t>（4）保证“数据管理模块”正常运行，能够正常进行数据审核、生成报表并查询审核记录；</w:t>
      </w:r>
    </w:p>
    <w:p>
      <w:pPr>
        <w:widowControl/>
        <w:ind w:firstLine="224" w:firstLineChars="100"/>
        <w:jc w:val="left"/>
        <w:rPr>
          <w:sz w:val="24"/>
        </w:rPr>
      </w:pPr>
      <w:r>
        <w:rPr>
          <w:rFonts w:hint="eastAsia"/>
          <w:sz w:val="24"/>
        </w:rPr>
        <w:t>（5）保证综合观测实验室数据系统与中国环境监测总站数据中心联网和数据传输正常。</w:t>
      </w:r>
    </w:p>
    <w:p>
      <w:pPr>
        <w:widowControl/>
        <w:ind w:firstLine="448" w:firstLineChars="200"/>
        <w:jc w:val="left"/>
        <w:rPr>
          <w:sz w:val="24"/>
        </w:rPr>
      </w:pPr>
      <w:r>
        <w:rPr>
          <w:rFonts w:hint="eastAsia"/>
          <w:sz w:val="24"/>
        </w:rPr>
        <w:t>4、视频监控系统运行维护</w:t>
      </w:r>
    </w:p>
    <w:p>
      <w:pPr>
        <w:widowControl/>
        <w:ind w:firstLine="224" w:firstLineChars="100"/>
        <w:jc w:val="left"/>
        <w:rPr>
          <w:sz w:val="24"/>
        </w:rPr>
      </w:pPr>
      <w:r>
        <w:rPr>
          <w:rFonts w:hint="eastAsia"/>
          <w:sz w:val="24"/>
        </w:rPr>
        <w:t>（1）每日查看视频监控设备是否正常运行；</w:t>
      </w:r>
    </w:p>
    <w:p>
      <w:pPr>
        <w:widowControl/>
        <w:ind w:firstLine="224" w:firstLineChars="100"/>
        <w:jc w:val="left"/>
        <w:rPr>
          <w:sz w:val="24"/>
        </w:rPr>
      </w:pPr>
      <w:r>
        <w:rPr>
          <w:rFonts w:hint="eastAsia"/>
          <w:sz w:val="24"/>
        </w:rPr>
        <w:t>（2）至少每2周进行一次站点内视频监控设备的巡检、除尘清理等维护工作；</w:t>
      </w:r>
    </w:p>
    <w:p>
      <w:pPr>
        <w:widowControl/>
        <w:ind w:firstLine="224" w:firstLineChars="100"/>
        <w:jc w:val="left"/>
        <w:rPr>
          <w:sz w:val="24"/>
        </w:rPr>
      </w:pPr>
      <w:r>
        <w:rPr>
          <w:rFonts w:hint="eastAsia"/>
          <w:sz w:val="24"/>
        </w:rPr>
        <w:t>（3）至少每月进行一次站点内视频摄影机的检测与维护。</w:t>
      </w:r>
    </w:p>
    <w:p>
      <w:pPr>
        <w:widowControl/>
        <w:ind w:firstLine="448" w:firstLineChars="200"/>
        <w:jc w:val="left"/>
        <w:rPr>
          <w:sz w:val="24"/>
        </w:rPr>
      </w:pPr>
      <w:r>
        <w:rPr>
          <w:rFonts w:hint="eastAsia"/>
          <w:sz w:val="24"/>
        </w:rPr>
        <w:t>5、动力环境系统运行维护</w:t>
      </w:r>
    </w:p>
    <w:p>
      <w:pPr>
        <w:widowControl/>
        <w:ind w:firstLine="224" w:firstLineChars="100"/>
        <w:jc w:val="left"/>
        <w:rPr>
          <w:sz w:val="24"/>
        </w:rPr>
      </w:pPr>
      <w:r>
        <w:rPr>
          <w:rFonts w:hint="eastAsia"/>
          <w:sz w:val="24"/>
        </w:rPr>
        <w:t>（1）每日查看各点位动力环境设备是否正常运行；</w:t>
      </w:r>
    </w:p>
    <w:p>
      <w:pPr>
        <w:widowControl/>
        <w:ind w:firstLine="224" w:firstLineChars="100"/>
        <w:jc w:val="left"/>
        <w:rPr>
          <w:sz w:val="24"/>
        </w:rPr>
      </w:pPr>
      <w:r>
        <w:rPr>
          <w:rFonts w:hint="eastAsia"/>
          <w:sz w:val="24"/>
        </w:rPr>
        <w:t>（2）每月至少进行一次站点内动力环境设备的检查和维护；</w:t>
      </w:r>
    </w:p>
    <w:p>
      <w:pPr>
        <w:widowControl/>
        <w:ind w:firstLine="224" w:firstLineChars="100"/>
        <w:jc w:val="left"/>
        <w:rPr>
          <w:sz w:val="24"/>
        </w:rPr>
      </w:pPr>
      <w:r>
        <w:rPr>
          <w:rFonts w:hint="eastAsia"/>
          <w:sz w:val="24"/>
        </w:rPr>
        <w:t>（3）每月至少进行一次站点内环境摄像设备的检查和维护。</w:t>
      </w:r>
    </w:p>
    <w:p>
      <w:pPr>
        <w:widowControl/>
        <w:ind w:firstLine="448" w:firstLineChars="200"/>
        <w:jc w:val="left"/>
        <w:rPr>
          <w:sz w:val="24"/>
        </w:rPr>
      </w:pPr>
      <w:r>
        <w:rPr>
          <w:rFonts w:hint="eastAsia"/>
          <w:sz w:val="24"/>
        </w:rPr>
        <w:t>6、街镇自动监测数据上报系统运行维护</w:t>
      </w:r>
    </w:p>
    <w:p>
      <w:pPr>
        <w:widowControl/>
        <w:ind w:firstLine="224" w:firstLineChars="100"/>
        <w:jc w:val="left"/>
        <w:rPr>
          <w:sz w:val="24"/>
        </w:rPr>
      </w:pPr>
      <w:r>
        <w:rPr>
          <w:rFonts w:hint="eastAsia"/>
          <w:sz w:val="24"/>
        </w:rPr>
        <w:t>（1）保障系统的正常保障系统的正常运转，并可与其余相关业务平台之间的数据对接正常开展；</w:t>
      </w:r>
    </w:p>
    <w:p>
      <w:pPr>
        <w:widowControl/>
        <w:ind w:firstLine="224" w:firstLineChars="100"/>
        <w:jc w:val="left"/>
        <w:rPr>
          <w:sz w:val="24"/>
        </w:rPr>
      </w:pPr>
      <w:r>
        <w:rPr>
          <w:rFonts w:hint="eastAsia"/>
          <w:sz w:val="24"/>
        </w:rPr>
        <w:t>（2）保证街镇自动监测数据上报分析系统小时级别、日级别监测数据上报、下载功能，月均浓度、年均浓度以及同比变化幅度的统计计算功能，点位增加、删除、信息变更功能，依据点位信息、数据格式信息提供上报数据的错误信息报错提醒功能，以及不同权限账号管理功能的正常实现。</w:t>
      </w:r>
    </w:p>
    <w:p>
      <w:pPr>
        <w:widowControl/>
        <w:ind w:firstLine="448" w:firstLineChars="200"/>
        <w:jc w:val="left"/>
        <w:rPr>
          <w:sz w:val="24"/>
        </w:rPr>
      </w:pPr>
      <w:r>
        <w:rPr>
          <w:rFonts w:hint="eastAsia"/>
          <w:sz w:val="24"/>
        </w:rPr>
        <w:t>7、环境空气质量分析与预报系统运行维护</w:t>
      </w:r>
    </w:p>
    <w:p>
      <w:pPr>
        <w:widowControl/>
        <w:ind w:firstLine="224" w:firstLineChars="100"/>
        <w:jc w:val="left"/>
        <w:rPr>
          <w:sz w:val="24"/>
        </w:rPr>
      </w:pPr>
      <w:r>
        <w:rPr>
          <w:rFonts w:hint="eastAsia"/>
          <w:sz w:val="24"/>
        </w:rPr>
        <w:t>（1）每日查看分析与预报系统运行状态；</w:t>
      </w:r>
    </w:p>
    <w:p>
      <w:pPr>
        <w:widowControl/>
        <w:ind w:firstLine="224" w:firstLineChars="100"/>
        <w:jc w:val="left"/>
        <w:rPr>
          <w:sz w:val="24"/>
        </w:rPr>
      </w:pPr>
      <w:r>
        <w:rPr>
          <w:rFonts w:hint="eastAsia"/>
          <w:sz w:val="24"/>
        </w:rPr>
        <w:t>（2）保障分析与预报系统平台数据同步、数据处理、数据异常报告、数据发布接口、数据发布系统之间的对接运转正常；</w:t>
      </w:r>
    </w:p>
    <w:p>
      <w:pPr>
        <w:widowControl/>
        <w:ind w:firstLine="224" w:firstLineChars="100"/>
        <w:jc w:val="left"/>
        <w:rPr>
          <w:sz w:val="24"/>
        </w:rPr>
      </w:pPr>
      <w:r>
        <w:rPr>
          <w:rFonts w:hint="eastAsia"/>
          <w:sz w:val="24"/>
        </w:rPr>
        <w:t>（3）提供分析与预报系统平台的技术咨询、故障排查服务；</w:t>
      </w:r>
    </w:p>
    <w:p>
      <w:pPr>
        <w:widowControl/>
        <w:ind w:firstLine="224" w:firstLineChars="100"/>
        <w:jc w:val="left"/>
        <w:rPr>
          <w:sz w:val="24"/>
        </w:rPr>
      </w:pPr>
      <w:r>
        <w:rPr>
          <w:rFonts w:hint="eastAsia"/>
          <w:sz w:val="24"/>
        </w:rPr>
        <w:t>（4）按要求提供分析与预报系统更新升级服务；</w:t>
      </w:r>
    </w:p>
    <w:p>
      <w:pPr>
        <w:widowControl/>
        <w:ind w:firstLine="224" w:firstLineChars="100"/>
        <w:jc w:val="left"/>
        <w:rPr>
          <w:sz w:val="24"/>
        </w:rPr>
      </w:pPr>
      <w:r>
        <w:rPr>
          <w:rFonts w:hint="eastAsia"/>
          <w:sz w:val="24"/>
        </w:rPr>
        <w:t>（5）服务期内对本系统进行一次优化服务，保证本系统正常运行。</w:t>
      </w:r>
    </w:p>
    <w:p>
      <w:pPr>
        <w:widowControl/>
        <w:ind w:firstLine="448" w:firstLineChars="200"/>
        <w:jc w:val="left"/>
        <w:rPr>
          <w:sz w:val="24"/>
        </w:rPr>
      </w:pPr>
      <w:r>
        <w:rPr>
          <w:rFonts w:hint="eastAsia"/>
          <w:sz w:val="24"/>
        </w:rPr>
        <w:t>8、小尺度环境空气质量空间分析及模拟数据综合分析系统运行维护</w:t>
      </w:r>
    </w:p>
    <w:p>
      <w:pPr>
        <w:widowControl/>
        <w:ind w:firstLine="224" w:firstLineChars="100"/>
        <w:jc w:val="left"/>
        <w:rPr>
          <w:sz w:val="24"/>
        </w:rPr>
      </w:pPr>
      <w:r>
        <w:rPr>
          <w:rFonts w:hint="eastAsia"/>
          <w:sz w:val="24"/>
        </w:rPr>
        <w:t>（1）维护内容包括环境空气质量分析与预报、小尺度环境空气质量空间分析及模拟数据综合分析系统的运行、维护及升级更新；</w:t>
      </w:r>
    </w:p>
    <w:p>
      <w:pPr>
        <w:widowControl/>
        <w:ind w:firstLine="224" w:firstLineChars="100"/>
        <w:jc w:val="left"/>
        <w:rPr>
          <w:sz w:val="24"/>
        </w:rPr>
      </w:pPr>
      <w:r>
        <w:rPr>
          <w:rFonts w:hint="eastAsia"/>
          <w:sz w:val="24"/>
        </w:rPr>
        <w:t>（2）每日查看小尺度环境空气质量空间分析及模拟数据综合分析系统运行状态；</w:t>
      </w:r>
    </w:p>
    <w:p>
      <w:pPr>
        <w:widowControl/>
        <w:ind w:firstLine="224" w:firstLineChars="100"/>
        <w:jc w:val="left"/>
        <w:rPr>
          <w:sz w:val="24"/>
        </w:rPr>
      </w:pPr>
      <w:r>
        <w:rPr>
          <w:rFonts w:hint="eastAsia"/>
          <w:sz w:val="24"/>
        </w:rPr>
        <w:t>（3）小尺度环境空气质量空间分析及模拟数据综合分析，并可与其余相关业务平台之间的数据对接正常开展；</w:t>
      </w:r>
    </w:p>
    <w:p>
      <w:pPr>
        <w:widowControl/>
        <w:ind w:firstLine="224" w:firstLineChars="100"/>
        <w:jc w:val="left"/>
        <w:rPr>
          <w:sz w:val="24"/>
        </w:rPr>
      </w:pPr>
      <w:r>
        <w:rPr>
          <w:rFonts w:hint="eastAsia"/>
          <w:sz w:val="24"/>
        </w:rPr>
        <w:t>（4）提供分析与预报系统平台的技术咨询、故障排查服务；</w:t>
      </w:r>
    </w:p>
    <w:p>
      <w:pPr>
        <w:widowControl/>
        <w:ind w:firstLine="224" w:firstLineChars="100"/>
        <w:jc w:val="left"/>
        <w:rPr>
          <w:sz w:val="24"/>
        </w:rPr>
      </w:pPr>
      <w:r>
        <w:rPr>
          <w:rFonts w:hint="eastAsia"/>
          <w:sz w:val="24"/>
        </w:rPr>
        <w:t>（5）按要求提供分析与预报系统更新升级服务；</w:t>
      </w:r>
    </w:p>
    <w:p>
      <w:pPr>
        <w:widowControl/>
        <w:ind w:firstLine="224" w:firstLineChars="100"/>
        <w:jc w:val="left"/>
        <w:rPr>
          <w:sz w:val="24"/>
        </w:rPr>
      </w:pPr>
      <w:r>
        <w:rPr>
          <w:rFonts w:hint="eastAsia"/>
          <w:sz w:val="24"/>
        </w:rPr>
        <w:t>（6）服务期内对本系统进行一次优化服务，保证本系统正常运行。</w:t>
      </w:r>
    </w:p>
    <w:p>
      <w:pPr>
        <w:widowControl/>
        <w:ind w:firstLine="448" w:firstLineChars="200"/>
        <w:jc w:val="left"/>
        <w:rPr>
          <w:sz w:val="24"/>
        </w:rPr>
      </w:pPr>
      <w:r>
        <w:rPr>
          <w:rFonts w:hint="eastAsia"/>
          <w:sz w:val="24"/>
        </w:rPr>
        <w:t>（三）小尺度模型计算技术支持服务</w:t>
      </w:r>
    </w:p>
    <w:p>
      <w:pPr>
        <w:widowControl/>
        <w:ind w:firstLine="448" w:firstLineChars="200"/>
        <w:jc w:val="left"/>
        <w:rPr>
          <w:sz w:val="24"/>
        </w:rPr>
      </w:pPr>
      <w:r>
        <w:rPr>
          <w:rFonts w:hint="eastAsia"/>
          <w:sz w:val="24"/>
        </w:rPr>
        <w:t>1、</w:t>
      </w:r>
      <w:r>
        <w:rPr>
          <w:rFonts w:hint="eastAsia"/>
          <w:sz w:val="24"/>
        </w:rPr>
        <w:tab/>
      </w:r>
      <w:r>
        <w:rPr>
          <w:rFonts w:hint="eastAsia"/>
          <w:sz w:val="24"/>
        </w:rPr>
        <w:t>提供小尺度模型相关运算的技术支持，包括气象场数据整理、污染源清单数据处理、模型运行服务等；</w:t>
      </w:r>
    </w:p>
    <w:p>
      <w:pPr>
        <w:widowControl/>
        <w:ind w:firstLine="448" w:firstLineChars="200"/>
        <w:jc w:val="left"/>
        <w:rPr>
          <w:sz w:val="24"/>
        </w:rPr>
      </w:pPr>
      <w:r>
        <w:rPr>
          <w:rFonts w:hint="eastAsia"/>
          <w:sz w:val="24"/>
        </w:rPr>
        <w:t>2、</w:t>
      </w:r>
      <w:r>
        <w:rPr>
          <w:rFonts w:hint="eastAsia"/>
          <w:sz w:val="24"/>
        </w:rPr>
        <w:tab/>
      </w:r>
      <w:r>
        <w:rPr>
          <w:rFonts w:hint="eastAsia"/>
          <w:sz w:val="24"/>
        </w:rPr>
        <w:t>模型脚本编译服务，包括气象数据处理脚本、地理信息处理脚本、污染源数据处理脚本以及建模脚本编译等；</w:t>
      </w:r>
    </w:p>
    <w:p>
      <w:pPr>
        <w:widowControl/>
        <w:ind w:firstLine="448" w:firstLineChars="200"/>
        <w:jc w:val="left"/>
        <w:rPr>
          <w:sz w:val="24"/>
        </w:rPr>
      </w:pPr>
      <w:r>
        <w:rPr>
          <w:rFonts w:hint="eastAsia"/>
          <w:sz w:val="24"/>
        </w:rPr>
        <w:t>3、</w:t>
      </w:r>
      <w:r>
        <w:rPr>
          <w:rFonts w:hint="eastAsia"/>
          <w:sz w:val="24"/>
        </w:rPr>
        <w:tab/>
      </w:r>
      <w:r>
        <w:rPr>
          <w:rFonts w:hint="eastAsia"/>
          <w:sz w:val="24"/>
        </w:rPr>
        <w:t>提供分析与预报系统平台的技术咨询、故障排查服务；</w:t>
      </w:r>
    </w:p>
    <w:p>
      <w:pPr>
        <w:widowControl/>
        <w:ind w:firstLine="448" w:firstLineChars="200"/>
        <w:jc w:val="left"/>
        <w:rPr>
          <w:sz w:val="24"/>
        </w:rPr>
      </w:pPr>
      <w:r>
        <w:rPr>
          <w:rFonts w:hint="eastAsia"/>
          <w:sz w:val="24"/>
        </w:rPr>
        <w:t>4、</w:t>
      </w:r>
      <w:r>
        <w:rPr>
          <w:rFonts w:hint="eastAsia"/>
          <w:sz w:val="24"/>
        </w:rPr>
        <w:tab/>
      </w:r>
      <w:r>
        <w:rPr>
          <w:rFonts w:hint="eastAsia"/>
          <w:sz w:val="24"/>
        </w:rPr>
        <w:t>按要求提供分析与预报系统更新升级服务；</w:t>
      </w:r>
    </w:p>
    <w:p>
      <w:pPr>
        <w:widowControl/>
        <w:ind w:firstLine="448" w:firstLineChars="200"/>
        <w:jc w:val="left"/>
        <w:rPr>
          <w:sz w:val="24"/>
        </w:rPr>
      </w:pPr>
      <w:r>
        <w:rPr>
          <w:rFonts w:hint="eastAsia"/>
          <w:sz w:val="24"/>
        </w:rPr>
        <w:t>5、</w:t>
      </w:r>
      <w:r>
        <w:rPr>
          <w:rFonts w:hint="eastAsia"/>
          <w:sz w:val="24"/>
        </w:rPr>
        <w:tab/>
      </w:r>
      <w:r>
        <w:rPr>
          <w:rFonts w:hint="eastAsia"/>
          <w:sz w:val="24"/>
        </w:rPr>
        <w:t>服务期内对本系统进行一次优化服务，保证本系统正常运行。</w:t>
      </w:r>
    </w:p>
    <w:p>
      <w:pPr>
        <w:widowControl/>
        <w:ind w:firstLine="448" w:firstLineChars="200"/>
        <w:jc w:val="left"/>
        <w:rPr>
          <w:sz w:val="24"/>
        </w:rPr>
      </w:pPr>
      <w:r>
        <w:rPr>
          <w:rFonts w:hint="eastAsia"/>
          <w:sz w:val="24"/>
        </w:rPr>
        <w:t>（四）服务器运行维护</w:t>
      </w:r>
    </w:p>
    <w:p>
      <w:pPr>
        <w:widowControl/>
        <w:ind w:firstLine="448" w:firstLineChars="200"/>
        <w:jc w:val="left"/>
        <w:rPr>
          <w:sz w:val="24"/>
        </w:rPr>
      </w:pPr>
      <w:r>
        <w:rPr>
          <w:rFonts w:hint="eastAsia"/>
          <w:sz w:val="24"/>
        </w:rPr>
        <w:t>1.</w:t>
      </w:r>
      <w:r>
        <w:rPr>
          <w:rFonts w:hint="eastAsia"/>
          <w:sz w:val="24"/>
        </w:rPr>
        <w:tab/>
      </w:r>
      <w:r>
        <w:rPr>
          <w:rFonts w:hint="eastAsia"/>
          <w:sz w:val="24"/>
        </w:rPr>
        <w:t>保证数据中心多模式环境空气质量预报系统（环境空气质量分析与预报、小尺度环境空气质量空间分析及模拟数据综合分析）运行维护和小尺度模型计算技术支持服务所涉及全部服务器7×24小时稳定运行；</w:t>
      </w:r>
    </w:p>
    <w:p>
      <w:pPr>
        <w:widowControl/>
        <w:ind w:firstLine="448" w:firstLineChars="200"/>
        <w:jc w:val="left"/>
        <w:rPr>
          <w:sz w:val="24"/>
        </w:rPr>
      </w:pPr>
      <w:r>
        <w:rPr>
          <w:rFonts w:hint="eastAsia"/>
          <w:sz w:val="24"/>
        </w:rPr>
        <w:t>2.</w:t>
      </w:r>
      <w:r>
        <w:rPr>
          <w:rFonts w:hint="eastAsia"/>
          <w:sz w:val="24"/>
        </w:rPr>
        <w:tab/>
      </w:r>
      <w:r>
        <w:rPr>
          <w:rFonts w:hint="eastAsia"/>
          <w:sz w:val="24"/>
        </w:rPr>
        <w:t>每月至少进行一次服务器硬件巡检维护、服务器操作系统巡检维护和服务器安全补丁更新。</w:t>
      </w:r>
    </w:p>
    <w:p>
      <w:pPr>
        <w:widowControl/>
        <w:ind w:firstLine="448" w:firstLineChars="200"/>
        <w:jc w:val="left"/>
        <w:rPr>
          <w:sz w:val="24"/>
        </w:rPr>
      </w:pPr>
      <w:r>
        <w:rPr>
          <w:rFonts w:hint="eastAsia"/>
          <w:sz w:val="24"/>
        </w:rPr>
        <w:t>三、监督考核要求</w:t>
      </w:r>
    </w:p>
    <w:p>
      <w:pPr>
        <w:widowControl/>
        <w:spacing w:line="378" w:lineRule="atLeast"/>
        <w:ind w:firstLine="472"/>
        <w:jc w:val="left"/>
        <w:rPr>
          <w:sz w:val="24"/>
        </w:rPr>
      </w:pPr>
      <w:r>
        <w:rPr>
          <w:rFonts w:hint="eastAsia"/>
          <w:sz w:val="24"/>
        </w:rPr>
        <w:t>考核实行扣分制，满分为100分，项目结束时对本项目全部工作进行考核，以扣分法计分（考核表见附件1）。</w:t>
      </w:r>
    </w:p>
    <w:p>
      <w:pPr>
        <w:jc w:val="center"/>
        <w:outlineLvl w:val="1"/>
        <w:rPr>
          <w:sz w:val="24"/>
        </w:rPr>
      </w:pPr>
      <w:r>
        <w:rPr>
          <w:rFonts w:hint="eastAsia"/>
          <w:sz w:val="24"/>
        </w:rPr>
        <w:t>考核内容</w:t>
      </w:r>
    </w:p>
    <w:tbl>
      <w:tblPr>
        <w:tblStyle w:val="17"/>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
        <w:gridCol w:w="709"/>
        <w:gridCol w:w="680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421" w:type="dxa"/>
            <w:vAlign w:val="center"/>
          </w:tcPr>
          <w:p>
            <w:pPr>
              <w:widowControl/>
              <w:jc w:val="center"/>
              <w:rPr>
                <w:sz w:val="24"/>
              </w:rPr>
            </w:pPr>
            <w:r>
              <w:rPr>
                <w:sz w:val="24"/>
              </w:rPr>
              <w:t>分类</w:t>
            </w:r>
          </w:p>
        </w:tc>
        <w:tc>
          <w:tcPr>
            <w:tcW w:w="709" w:type="dxa"/>
            <w:vAlign w:val="center"/>
          </w:tcPr>
          <w:p>
            <w:pPr>
              <w:widowControl/>
              <w:jc w:val="center"/>
              <w:rPr>
                <w:sz w:val="24"/>
              </w:rPr>
            </w:pPr>
            <w:r>
              <w:rPr>
                <w:sz w:val="24"/>
              </w:rPr>
              <w:t>序号</w:t>
            </w:r>
          </w:p>
        </w:tc>
        <w:tc>
          <w:tcPr>
            <w:tcW w:w="6804" w:type="dxa"/>
          </w:tcPr>
          <w:p>
            <w:pPr>
              <w:widowControl/>
              <w:jc w:val="center"/>
              <w:rPr>
                <w:sz w:val="24"/>
              </w:rPr>
            </w:pPr>
            <w:r>
              <w:rPr>
                <w:rFonts w:ascii="仿宋" w:hAnsi="仿宋" w:eastAsia="仿宋"/>
                <w:b/>
                <w:bCs/>
                <w:kern w:val="0"/>
                <w:sz w:val="24"/>
              </w:rPr>
              <w:t>指标要求</w:t>
            </w:r>
          </w:p>
        </w:tc>
        <w:tc>
          <w:tcPr>
            <w:tcW w:w="802" w:type="dxa"/>
          </w:tcPr>
          <w:p>
            <w:pPr>
              <w:widowControl/>
              <w:jc w:val="center"/>
              <w:rPr>
                <w:sz w:val="24"/>
              </w:rPr>
            </w:pPr>
            <w:r>
              <w:rPr>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421" w:type="dxa"/>
            <w:vMerge w:val="restart"/>
            <w:vAlign w:val="center"/>
          </w:tcPr>
          <w:p>
            <w:pPr>
              <w:widowControl/>
              <w:jc w:val="center"/>
              <w:rPr>
                <w:sz w:val="24"/>
              </w:rPr>
            </w:pPr>
            <w:r>
              <w:rPr>
                <w:sz w:val="24"/>
              </w:rPr>
              <w:t>常规服务</w:t>
            </w:r>
          </w:p>
          <w:p>
            <w:pPr>
              <w:widowControl/>
              <w:jc w:val="center"/>
              <w:rPr>
                <w:sz w:val="24"/>
              </w:rPr>
            </w:pPr>
            <w:r>
              <w:rPr>
                <w:rFonts w:hint="eastAsia"/>
                <w:sz w:val="24"/>
              </w:rPr>
              <w:t>（20分）</w:t>
            </w:r>
          </w:p>
        </w:tc>
        <w:tc>
          <w:tcPr>
            <w:tcW w:w="709" w:type="dxa"/>
            <w:vAlign w:val="center"/>
          </w:tcPr>
          <w:p>
            <w:pPr>
              <w:widowControl/>
              <w:jc w:val="center"/>
              <w:rPr>
                <w:sz w:val="24"/>
              </w:rPr>
            </w:pPr>
            <w:r>
              <w:rPr>
                <w:sz w:val="24"/>
              </w:rPr>
              <w:t>1</w:t>
            </w:r>
          </w:p>
        </w:tc>
        <w:tc>
          <w:tcPr>
            <w:tcW w:w="6804" w:type="dxa"/>
            <w:vAlign w:val="center"/>
          </w:tcPr>
          <w:p>
            <w:pPr>
              <w:widowControl/>
              <w:spacing w:line="240" w:lineRule="atLeast"/>
              <w:rPr>
                <w:rFonts w:ascii="仿宋" w:hAnsi="仿宋" w:eastAsia="仿宋"/>
                <w:kern w:val="0"/>
                <w:sz w:val="24"/>
              </w:rPr>
            </w:pPr>
            <w:r>
              <w:rPr>
                <w:rFonts w:ascii="仿宋" w:hAnsi="仿宋" w:eastAsia="仿宋"/>
                <w:kern w:val="0"/>
                <w:sz w:val="24"/>
              </w:rPr>
              <w:t>服务响应及时，出现故障</w:t>
            </w:r>
            <w:r>
              <w:rPr>
                <w:rFonts w:hint="eastAsia" w:ascii="仿宋" w:hAnsi="仿宋" w:eastAsia="仿宋"/>
                <w:kern w:val="0"/>
                <w:sz w:val="24"/>
              </w:rPr>
              <w:t>后1小时内做出响应，2小时内排除故障；如确需现场解决，则需在4小时内赶到现场，并在24小时内排除故障。</w:t>
            </w:r>
          </w:p>
        </w:tc>
        <w:tc>
          <w:tcPr>
            <w:tcW w:w="802" w:type="dxa"/>
            <w:vAlign w:val="center"/>
          </w:tcPr>
          <w:p>
            <w:pPr>
              <w:widowControl/>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421" w:type="dxa"/>
            <w:vMerge w:val="continue"/>
            <w:vAlign w:val="center"/>
          </w:tcPr>
          <w:p>
            <w:pPr>
              <w:widowControl/>
              <w:jc w:val="center"/>
              <w:rPr>
                <w:sz w:val="24"/>
              </w:rPr>
            </w:pPr>
          </w:p>
        </w:tc>
        <w:tc>
          <w:tcPr>
            <w:tcW w:w="709" w:type="dxa"/>
            <w:vAlign w:val="center"/>
          </w:tcPr>
          <w:p>
            <w:pPr>
              <w:widowControl/>
              <w:jc w:val="center"/>
              <w:rPr>
                <w:sz w:val="24"/>
              </w:rPr>
            </w:pPr>
            <w:r>
              <w:rPr>
                <w:sz w:val="24"/>
              </w:rPr>
              <w:t>2</w:t>
            </w:r>
          </w:p>
        </w:tc>
        <w:tc>
          <w:tcPr>
            <w:tcW w:w="6804" w:type="dxa"/>
            <w:vAlign w:val="center"/>
          </w:tcPr>
          <w:p>
            <w:pPr>
              <w:widowControl/>
              <w:spacing w:line="240" w:lineRule="atLeast"/>
              <w:rPr>
                <w:rFonts w:ascii="仿宋" w:hAnsi="仿宋" w:eastAsia="仿宋"/>
                <w:kern w:val="0"/>
                <w:sz w:val="24"/>
              </w:rPr>
            </w:pPr>
            <w:r>
              <w:rPr>
                <w:rFonts w:hint="eastAsia" w:ascii="仿宋" w:hAnsi="仿宋" w:eastAsia="仿宋"/>
                <w:kern w:val="0"/>
                <w:sz w:val="24"/>
              </w:rPr>
              <w:t>运行维护</w:t>
            </w:r>
            <w:r>
              <w:rPr>
                <w:rFonts w:ascii="仿宋" w:hAnsi="仿宋" w:eastAsia="仿宋"/>
                <w:kern w:val="0"/>
                <w:sz w:val="24"/>
              </w:rPr>
              <w:t>记录的完整</w:t>
            </w:r>
            <w:r>
              <w:rPr>
                <w:rFonts w:hint="eastAsia" w:ascii="仿宋" w:hAnsi="仿宋" w:eastAsia="仿宋"/>
                <w:kern w:val="0"/>
                <w:sz w:val="24"/>
              </w:rPr>
              <w:t>详实，能够体现全部运维工作。</w:t>
            </w:r>
          </w:p>
        </w:tc>
        <w:tc>
          <w:tcPr>
            <w:tcW w:w="802" w:type="dxa"/>
            <w:vAlign w:val="center"/>
          </w:tcPr>
          <w:p>
            <w:pPr>
              <w:widowControl/>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421" w:type="dxa"/>
            <w:vMerge w:val="restart"/>
            <w:vAlign w:val="center"/>
          </w:tcPr>
          <w:p>
            <w:pPr>
              <w:widowControl/>
              <w:jc w:val="center"/>
              <w:rPr>
                <w:sz w:val="24"/>
              </w:rPr>
            </w:pPr>
            <w:r>
              <w:rPr>
                <w:rFonts w:hint="eastAsia"/>
                <w:sz w:val="24"/>
              </w:rPr>
              <w:t>运维</w:t>
            </w:r>
            <w:r>
              <w:rPr>
                <w:sz w:val="24"/>
              </w:rPr>
              <w:t>考核内容</w:t>
            </w:r>
            <w:r>
              <w:rPr>
                <w:rFonts w:hint="eastAsia"/>
                <w:sz w:val="24"/>
              </w:rPr>
              <w:t>（80分）</w:t>
            </w:r>
          </w:p>
        </w:tc>
        <w:tc>
          <w:tcPr>
            <w:tcW w:w="709" w:type="dxa"/>
            <w:vAlign w:val="center"/>
          </w:tcPr>
          <w:p>
            <w:pPr>
              <w:widowControl/>
              <w:jc w:val="center"/>
              <w:rPr>
                <w:sz w:val="24"/>
              </w:rPr>
            </w:pPr>
            <w:r>
              <w:rPr>
                <w:sz w:val="24"/>
              </w:rPr>
              <w:t>1</w:t>
            </w:r>
          </w:p>
        </w:tc>
        <w:tc>
          <w:tcPr>
            <w:tcW w:w="6804" w:type="dxa"/>
            <w:vAlign w:val="center"/>
          </w:tcPr>
          <w:p>
            <w:pPr>
              <w:widowControl/>
              <w:spacing w:line="240" w:lineRule="atLeast"/>
              <w:rPr>
                <w:rFonts w:ascii="仿宋" w:hAnsi="仿宋" w:eastAsia="仿宋"/>
                <w:kern w:val="0"/>
                <w:sz w:val="24"/>
              </w:rPr>
            </w:pPr>
            <w:r>
              <w:rPr>
                <w:rFonts w:ascii="仿宋" w:hAnsi="仿宋" w:eastAsia="仿宋"/>
                <w:kern w:val="0"/>
                <w:sz w:val="24"/>
              </w:rPr>
              <w:t>各</w:t>
            </w:r>
            <w:r>
              <w:rPr>
                <w:rFonts w:hint="eastAsia" w:ascii="仿宋" w:hAnsi="仿宋" w:eastAsia="仿宋"/>
                <w:kern w:val="0"/>
                <w:sz w:val="24"/>
              </w:rPr>
              <w:t>点位设备（数据采集设备、动环设备、视频监控设备等）</w:t>
            </w:r>
            <w:r>
              <w:rPr>
                <w:rFonts w:ascii="仿宋" w:hAnsi="仿宋" w:eastAsia="仿宋"/>
                <w:kern w:val="0"/>
                <w:sz w:val="24"/>
              </w:rPr>
              <w:t>正常运转率达到90%以上（正常运转率指正常运转时间与全年应正常运转时间的</w:t>
            </w:r>
            <w:r>
              <w:rPr>
                <w:rFonts w:hint="eastAsia" w:ascii="仿宋" w:hAnsi="仿宋" w:eastAsia="仿宋"/>
                <w:kern w:val="0"/>
                <w:sz w:val="24"/>
              </w:rPr>
              <w:t>比值</w:t>
            </w:r>
            <w:r>
              <w:rPr>
                <w:rFonts w:ascii="仿宋" w:hAnsi="仿宋" w:eastAsia="仿宋"/>
                <w:kern w:val="0"/>
                <w:sz w:val="24"/>
              </w:rPr>
              <w:t>）</w:t>
            </w:r>
            <w:r>
              <w:rPr>
                <w:rFonts w:hint="eastAsia" w:ascii="仿宋" w:hAnsi="仿宋" w:eastAsia="仿宋"/>
                <w:kern w:val="0"/>
                <w:sz w:val="24"/>
              </w:rPr>
              <w:t>。</w:t>
            </w:r>
          </w:p>
        </w:tc>
        <w:tc>
          <w:tcPr>
            <w:tcW w:w="802" w:type="dxa"/>
            <w:vAlign w:val="center"/>
          </w:tcPr>
          <w:p>
            <w:pPr>
              <w:widowControl/>
              <w:jc w:val="center"/>
              <w:rPr>
                <w:sz w:val="24"/>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1" w:type="dxa"/>
            <w:vMerge w:val="continue"/>
            <w:vAlign w:val="center"/>
          </w:tcPr>
          <w:p>
            <w:pPr>
              <w:widowControl/>
              <w:jc w:val="center"/>
              <w:rPr>
                <w:sz w:val="24"/>
              </w:rPr>
            </w:pPr>
          </w:p>
        </w:tc>
        <w:tc>
          <w:tcPr>
            <w:tcW w:w="709" w:type="dxa"/>
            <w:vAlign w:val="center"/>
          </w:tcPr>
          <w:p>
            <w:pPr>
              <w:widowControl/>
              <w:jc w:val="center"/>
              <w:rPr>
                <w:sz w:val="24"/>
              </w:rPr>
            </w:pPr>
            <w:r>
              <w:rPr>
                <w:sz w:val="24"/>
              </w:rPr>
              <w:t>2</w:t>
            </w:r>
          </w:p>
        </w:tc>
        <w:tc>
          <w:tcPr>
            <w:tcW w:w="6804" w:type="dxa"/>
            <w:vAlign w:val="center"/>
          </w:tcPr>
          <w:p>
            <w:pPr>
              <w:widowControl/>
              <w:spacing w:line="240" w:lineRule="atLeast"/>
              <w:rPr>
                <w:rFonts w:ascii="仿宋" w:hAnsi="仿宋" w:eastAsia="仿宋"/>
                <w:kern w:val="0"/>
                <w:sz w:val="24"/>
              </w:rPr>
            </w:pPr>
            <w:r>
              <w:rPr>
                <w:rFonts w:ascii="仿宋" w:hAnsi="仿宋" w:eastAsia="仿宋"/>
                <w:kern w:val="0"/>
                <w:sz w:val="24"/>
              </w:rPr>
              <w:t>按要求完成对</w:t>
            </w:r>
            <w:r>
              <w:rPr>
                <w:rFonts w:hint="eastAsia" w:ascii="仿宋" w:hAnsi="仿宋" w:eastAsia="仿宋"/>
                <w:kern w:val="0"/>
                <w:sz w:val="24"/>
              </w:rPr>
              <w:t>各点位</w:t>
            </w:r>
            <w:r>
              <w:rPr>
                <w:rFonts w:ascii="仿宋" w:hAnsi="仿宋" w:eastAsia="仿宋"/>
                <w:kern w:val="0"/>
                <w:sz w:val="24"/>
              </w:rPr>
              <w:t>现场端设备进行</w:t>
            </w:r>
            <w:r>
              <w:rPr>
                <w:rFonts w:hint="eastAsia" w:ascii="仿宋" w:hAnsi="仿宋" w:eastAsia="仿宋"/>
                <w:kern w:val="0"/>
                <w:sz w:val="24"/>
              </w:rPr>
              <w:t>检查维护</w:t>
            </w:r>
            <w:r>
              <w:rPr>
                <w:rFonts w:ascii="仿宋" w:hAnsi="仿宋" w:eastAsia="仿宋"/>
                <w:kern w:val="0"/>
                <w:sz w:val="24"/>
              </w:rPr>
              <w:t>，并记录</w:t>
            </w:r>
            <w:r>
              <w:rPr>
                <w:rFonts w:hint="eastAsia" w:ascii="仿宋" w:hAnsi="仿宋" w:eastAsia="仿宋"/>
                <w:kern w:val="0"/>
                <w:sz w:val="24"/>
              </w:rPr>
              <w:t>。</w:t>
            </w:r>
          </w:p>
        </w:tc>
        <w:tc>
          <w:tcPr>
            <w:tcW w:w="802" w:type="dxa"/>
            <w:vAlign w:val="center"/>
          </w:tcPr>
          <w:p>
            <w:pPr>
              <w:widowControl/>
              <w:jc w:val="center"/>
              <w:rPr>
                <w:sz w:val="24"/>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1" w:type="dxa"/>
            <w:vMerge w:val="continue"/>
            <w:vAlign w:val="center"/>
          </w:tcPr>
          <w:p>
            <w:pPr>
              <w:widowControl/>
              <w:jc w:val="center"/>
              <w:rPr>
                <w:sz w:val="24"/>
              </w:rPr>
            </w:pPr>
          </w:p>
        </w:tc>
        <w:tc>
          <w:tcPr>
            <w:tcW w:w="709" w:type="dxa"/>
            <w:vAlign w:val="center"/>
          </w:tcPr>
          <w:p>
            <w:pPr>
              <w:widowControl/>
              <w:jc w:val="center"/>
              <w:rPr>
                <w:sz w:val="24"/>
              </w:rPr>
            </w:pPr>
            <w:r>
              <w:rPr>
                <w:sz w:val="24"/>
              </w:rPr>
              <w:t>3</w:t>
            </w:r>
          </w:p>
        </w:tc>
        <w:tc>
          <w:tcPr>
            <w:tcW w:w="6804" w:type="dxa"/>
            <w:vAlign w:val="center"/>
          </w:tcPr>
          <w:p>
            <w:pPr>
              <w:widowControl/>
              <w:spacing w:line="240" w:lineRule="atLeast"/>
              <w:rPr>
                <w:rFonts w:ascii="仿宋" w:hAnsi="仿宋" w:eastAsia="仿宋"/>
                <w:kern w:val="0"/>
                <w:sz w:val="24"/>
              </w:rPr>
            </w:pPr>
            <w:r>
              <w:rPr>
                <w:rFonts w:ascii="仿宋" w:hAnsi="仿宋" w:eastAsia="仿宋"/>
                <w:kern w:val="0"/>
                <w:sz w:val="24"/>
              </w:rPr>
              <w:t>按要求完成</w:t>
            </w:r>
            <w:r>
              <w:rPr>
                <w:rFonts w:hint="eastAsia" w:ascii="仿宋" w:hAnsi="仿宋" w:eastAsia="仿宋"/>
                <w:kern w:val="0"/>
                <w:sz w:val="24"/>
              </w:rPr>
              <w:t>对各系统</w:t>
            </w:r>
            <w:r>
              <w:rPr>
                <w:rFonts w:ascii="仿宋" w:hAnsi="仿宋" w:eastAsia="仿宋"/>
                <w:kern w:val="0"/>
                <w:sz w:val="24"/>
              </w:rPr>
              <w:t>软件平台</w:t>
            </w:r>
            <w:r>
              <w:rPr>
                <w:rFonts w:hint="eastAsia" w:ascii="仿宋" w:hAnsi="仿宋" w:eastAsia="仿宋"/>
                <w:kern w:val="0"/>
                <w:sz w:val="24"/>
              </w:rPr>
              <w:t>进行维护和优化，保证各系统正常运转，</w:t>
            </w:r>
            <w:r>
              <w:rPr>
                <w:rFonts w:ascii="仿宋" w:hAnsi="仿宋" w:eastAsia="仿宋"/>
                <w:kern w:val="0"/>
                <w:sz w:val="24"/>
              </w:rPr>
              <w:t>正常</w:t>
            </w:r>
            <w:r>
              <w:rPr>
                <w:rFonts w:hint="eastAsia" w:ascii="仿宋" w:hAnsi="仿宋" w:eastAsia="仿宋"/>
                <w:kern w:val="0"/>
                <w:sz w:val="24"/>
              </w:rPr>
              <w:t>运行</w:t>
            </w:r>
            <w:r>
              <w:rPr>
                <w:rFonts w:ascii="仿宋" w:hAnsi="仿宋" w:eastAsia="仿宋"/>
                <w:kern w:val="0"/>
                <w:sz w:val="24"/>
              </w:rPr>
              <w:t>率达到90%以上（网络和平台正常运转率指正常运转时间与</w:t>
            </w:r>
            <w:r>
              <w:rPr>
                <w:rFonts w:hint="eastAsia" w:ascii="仿宋" w:hAnsi="仿宋" w:eastAsia="仿宋"/>
                <w:kern w:val="0"/>
                <w:sz w:val="24"/>
              </w:rPr>
              <w:t>考核周期内</w:t>
            </w:r>
            <w:r>
              <w:rPr>
                <w:rFonts w:ascii="仿宋" w:hAnsi="仿宋" w:eastAsia="仿宋"/>
                <w:kern w:val="0"/>
                <w:sz w:val="24"/>
              </w:rPr>
              <w:t>应正常运转时间的比值）</w:t>
            </w:r>
            <w:r>
              <w:rPr>
                <w:rFonts w:hint="eastAsia" w:ascii="仿宋" w:hAnsi="仿宋" w:eastAsia="仿宋"/>
                <w:kern w:val="0"/>
                <w:sz w:val="24"/>
              </w:rPr>
              <w:t>。</w:t>
            </w:r>
          </w:p>
        </w:tc>
        <w:tc>
          <w:tcPr>
            <w:tcW w:w="802" w:type="dxa"/>
            <w:vAlign w:val="center"/>
          </w:tcPr>
          <w:p>
            <w:pPr>
              <w:widowControl/>
              <w:jc w:val="cente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1" w:type="dxa"/>
            <w:vMerge w:val="continue"/>
            <w:vAlign w:val="center"/>
          </w:tcPr>
          <w:p>
            <w:pPr>
              <w:widowControl/>
              <w:jc w:val="center"/>
              <w:rPr>
                <w:sz w:val="24"/>
              </w:rPr>
            </w:pPr>
          </w:p>
        </w:tc>
        <w:tc>
          <w:tcPr>
            <w:tcW w:w="709" w:type="dxa"/>
            <w:vAlign w:val="center"/>
          </w:tcPr>
          <w:p>
            <w:pPr>
              <w:widowControl/>
              <w:jc w:val="center"/>
              <w:rPr>
                <w:sz w:val="24"/>
              </w:rPr>
            </w:pPr>
            <w:r>
              <w:rPr>
                <w:rFonts w:hint="eastAsia"/>
                <w:sz w:val="24"/>
              </w:rPr>
              <w:t>4</w:t>
            </w:r>
          </w:p>
        </w:tc>
        <w:tc>
          <w:tcPr>
            <w:tcW w:w="6804" w:type="dxa"/>
            <w:vAlign w:val="center"/>
          </w:tcPr>
          <w:p>
            <w:pPr>
              <w:widowControl/>
              <w:spacing w:line="240" w:lineRule="atLeast"/>
              <w:rPr>
                <w:rFonts w:ascii="仿宋" w:hAnsi="仿宋" w:eastAsia="仿宋"/>
                <w:kern w:val="0"/>
                <w:sz w:val="24"/>
              </w:rPr>
            </w:pPr>
            <w:r>
              <w:rPr>
                <w:rFonts w:ascii="仿宋" w:hAnsi="仿宋" w:eastAsia="仿宋"/>
                <w:kern w:val="0"/>
                <w:sz w:val="24"/>
              </w:rPr>
              <w:t>按要求完成</w:t>
            </w:r>
            <w:r>
              <w:rPr>
                <w:rFonts w:hint="eastAsia" w:ascii="仿宋" w:hAnsi="仿宋" w:eastAsia="仿宋"/>
                <w:kern w:val="0"/>
                <w:sz w:val="24"/>
              </w:rPr>
              <w:t>全部服务器运行维护工作，各服务器</w:t>
            </w:r>
            <w:r>
              <w:rPr>
                <w:rFonts w:ascii="仿宋" w:hAnsi="仿宋" w:eastAsia="仿宋"/>
                <w:kern w:val="0"/>
                <w:sz w:val="24"/>
              </w:rPr>
              <w:t>正常</w:t>
            </w:r>
            <w:r>
              <w:rPr>
                <w:rFonts w:hint="eastAsia" w:ascii="仿宋" w:hAnsi="仿宋" w:eastAsia="仿宋"/>
                <w:kern w:val="0"/>
                <w:sz w:val="24"/>
              </w:rPr>
              <w:t>运行</w:t>
            </w:r>
            <w:r>
              <w:rPr>
                <w:rFonts w:ascii="仿宋" w:hAnsi="仿宋" w:eastAsia="仿宋"/>
                <w:kern w:val="0"/>
                <w:sz w:val="24"/>
              </w:rPr>
              <w:t>率达到90%以上</w:t>
            </w:r>
            <w:r>
              <w:rPr>
                <w:rFonts w:hint="eastAsia" w:ascii="仿宋" w:hAnsi="仿宋" w:eastAsia="仿宋"/>
                <w:kern w:val="0"/>
                <w:sz w:val="24"/>
              </w:rPr>
              <w:t>（服务器</w:t>
            </w:r>
            <w:r>
              <w:rPr>
                <w:rFonts w:ascii="仿宋" w:hAnsi="仿宋" w:eastAsia="仿宋"/>
                <w:kern w:val="0"/>
                <w:sz w:val="24"/>
              </w:rPr>
              <w:t>正常运转率</w:t>
            </w:r>
            <w:r>
              <w:rPr>
                <w:rFonts w:hint="eastAsia" w:ascii="仿宋" w:hAnsi="仿宋" w:eastAsia="仿宋"/>
                <w:kern w:val="0"/>
                <w:sz w:val="24"/>
              </w:rPr>
              <w:t>指</w:t>
            </w:r>
            <w:r>
              <w:rPr>
                <w:rFonts w:ascii="仿宋" w:hAnsi="仿宋" w:eastAsia="仿宋"/>
                <w:kern w:val="0"/>
                <w:sz w:val="24"/>
              </w:rPr>
              <w:t>正常运转时间与全年应正常运转时间的</w:t>
            </w:r>
            <w:r>
              <w:rPr>
                <w:rFonts w:hint="eastAsia" w:ascii="仿宋" w:hAnsi="仿宋" w:eastAsia="仿宋"/>
                <w:kern w:val="0"/>
                <w:sz w:val="24"/>
              </w:rPr>
              <w:t>比值</w:t>
            </w:r>
            <w:r>
              <w:rPr>
                <w:rFonts w:ascii="仿宋" w:hAnsi="仿宋" w:eastAsia="仿宋"/>
                <w:kern w:val="0"/>
                <w:sz w:val="24"/>
              </w:rPr>
              <w:t>）</w:t>
            </w:r>
            <w:r>
              <w:rPr>
                <w:rFonts w:hint="eastAsia" w:ascii="仿宋" w:hAnsi="仿宋" w:eastAsia="仿宋"/>
                <w:kern w:val="0"/>
                <w:sz w:val="24"/>
              </w:rPr>
              <w:t>。</w:t>
            </w:r>
          </w:p>
        </w:tc>
        <w:tc>
          <w:tcPr>
            <w:tcW w:w="802" w:type="dxa"/>
            <w:vAlign w:val="center"/>
          </w:tcPr>
          <w:p>
            <w:pPr>
              <w:widowControl/>
              <w:jc w:val="center"/>
              <w:rPr>
                <w:sz w:val="24"/>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21" w:type="dxa"/>
            <w:vMerge w:val="continue"/>
            <w:vAlign w:val="center"/>
          </w:tcPr>
          <w:p>
            <w:pPr>
              <w:widowControl/>
              <w:jc w:val="center"/>
              <w:rPr>
                <w:sz w:val="24"/>
              </w:rPr>
            </w:pPr>
          </w:p>
        </w:tc>
        <w:tc>
          <w:tcPr>
            <w:tcW w:w="709" w:type="dxa"/>
            <w:vAlign w:val="center"/>
          </w:tcPr>
          <w:p>
            <w:pPr>
              <w:widowControl/>
              <w:jc w:val="center"/>
              <w:rPr>
                <w:sz w:val="24"/>
              </w:rPr>
            </w:pPr>
            <w:r>
              <w:rPr>
                <w:sz w:val="24"/>
              </w:rPr>
              <w:t>5</w:t>
            </w:r>
          </w:p>
        </w:tc>
        <w:tc>
          <w:tcPr>
            <w:tcW w:w="6804" w:type="dxa"/>
            <w:vAlign w:val="center"/>
          </w:tcPr>
          <w:p>
            <w:pPr>
              <w:widowControl/>
              <w:spacing w:line="240" w:lineRule="atLeast"/>
              <w:rPr>
                <w:rFonts w:ascii="仿宋" w:hAnsi="仿宋" w:eastAsia="仿宋"/>
                <w:kern w:val="0"/>
                <w:sz w:val="24"/>
              </w:rPr>
            </w:pPr>
            <w:r>
              <w:rPr>
                <w:rFonts w:ascii="仿宋" w:hAnsi="仿宋" w:eastAsia="仿宋"/>
                <w:kern w:val="0"/>
                <w:sz w:val="24"/>
              </w:rPr>
              <w:t>故障情况</w:t>
            </w:r>
            <w:r>
              <w:rPr>
                <w:rFonts w:hint="eastAsia" w:ascii="仿宋" w:hAnsi="仿宋" w:eastAsia="仿宋"/>
                <w:kern w:val="0"/>
                <w:sz w:val="24"/>
              </w:rPr>
              <w:t>及时</w:t>
            </w:r>
            <w:r>
              <w:rPr>
                <w:rFonts w:ascii="仿宋" w:hAnsi="仿宋" w:eastAsia="仿宋"/>
                <w:kern w:val="0"/>
                <w:sz w:val="24"/>
              </w:rPr>
              <w:t>解决率达到95%以上</w:t>
            </w:r>
            <w:r>
              <w:rPr>
                <w:rFonts w:hint="eastAsia" w:ascii="仿宋" w:hAnsi="仿宋" w:eastAsia="仿宋"/>
                <w:kern w:val="0"/>
                <w:sz w:val="24"/>
              </w:rPr>
              <w:t>。</w:t>
            </w:r>
          </w:p>
        </w:tc>
        <w:tc>
          <w:tcPr>
            <w:tcW w:w="802" w:type="dxa"/>
            <w:vAlign w:val="center"/>
          </w:tcPr>
          <w:p>
            <w:pPr>
              <w:widowControl/>
              <w:jc w:val="center"/>
              <w:rPr>
                <w:sz w:val="24"/>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34" w:type="dxa"/>
            <w:gridSpan w:val="3"/>
            <w:vAlign w:val="center"/>
          </w:tcPr>
          <w:p>
            <w:pPr>
              <w:widowControl/>
              <w:spacing w:line="240" w:lineRule="atLeast"/>
              <w:jc w:val="center"/>
              <w:rPr>
                <w:rFonts w:ascii="仿宋" w:hAnsi="仿宋" w:eastAsia="仿宋"/>
                <w:kern w:val="0"/>
                <w:sz w:val="24"/>
              </w:rPr>
            </w:pPr>
            <w:r>
              <w:rPr>
                <w:rFonts w:ascii="仿宋" w:hAnsi="仿宋" w:eastAsia="仿宋"/>
                <w:kern w:val="0"/>
                <w:sz w:val="24"/>
              </w:rPr>
              <w:t>总分</w:t>
            </w:r>
          </w:p>
        </w:tc>
        <w:tc>
          <w:tcPr>
            <w:tcW w:w="802" w:type="dxa"/>
            <w:vAlign w:val="center"/>
          </w:tcPr>
          <w:p>
            <w:pPr>
              <w:widowControl/>
              <w:jc w:val="center"/>
              <w:rPr>
                <w:sz w:val="24"/>
              </w:rPr>
            </w:pPr>
            <w:r>
              <w:rPr>
                <w:rFonts w:hint="eastAsia"/>
                <w:sz w:val="24"/>
              </w:rPr>
              <w:t>100</w:t>
            </w:r>
          </w:p>
        </w:tc>
      </w:tr>
    </w:tbl>
    <w:p>
      <w:pPr>
        <w:widowControl/>
        <w:jc w:val="left"/>
        <w:rPr>
          <w:sz w:val="24"/>
        </w:rPr>
      </w:pPr>
    </w:p>
    <w:p>
      <w:pPr>
        <w:widowControl/>
        <w:ind w:firstLine="448" w:firstLineChars="200"/>
        <w:jc w:val="left"/>
        <w:rPr>
          <w:sz w:val="24"/>
        </w:rPr>
      </w:pPr>
      <w:r>
        <w:rPr>
          <w:rFonts w:hint="eastAsia"/>
          <w:sz w:val="24"/>
        </w:rPr>
        <w:t>四、运维费用支付</w:t>
      </w:r>
    </w:p>
    <w:p>
      <w:pPr>
        <w:widowControl/>
        <w:ind w:firstLine="448" w:firstLineChars="200"/>
        <w:jc w:val="left"/>
        <w:rPr>
          <w:sz w:val="24"/>
        </w:rPr>
      </w:pPr>
      <w:r>
        <w:rPr>
          <w:rFonts w:hint="eastAsia"/>
          <w:sz w:val="24"/>
        </w:rPr>
        <w:t>中标供应商实际应得的服务费用将与监督考核结果挂钩，考核总分≥80分的，投标人将得到全部服务费用；</w:t>
      </w:r>
    </w:p>
    <w:p>
      <w:pPr>
        <w:widowControl/>
        <w:ind w:firstLine="448" w:firstLineChars="200"/>
        <w:jc w:val="left"/>
        <w:rPr>
          <w:sz w:val="24"/>
        </w:rPr>
      </w:pPr>
      <w:r>
        <w:rPr>
          <w:rFonts w:hint="eastAsia"/>
          <w:sz w:val="24"/>
        </w:rPr>
        <w:t>考核总分＜80分的，将根据得分比例相应扣减运维费用，中标供应商实际获得的运维费：实际获得的运维费=（考核总分/80）×全额运维费用。</w:t>
      </w:r>
    </w:p>
    <w:p>
      <w:pPr>
        <w:widowControl/>
        <w:ind w:firstLine="448" w:firstLineChars="200"/>
        <w:jc w:val="left"/>
        <w:rPr>
          <w:sz w:val="24"/>
        </w:rPr>
      </w:pPr>
      <w:r>
        <w:rPr>
          <w:rFonts w:hint="eastAsia"/>
          <w:sz w:val="24"/>
        </w:rPr>
        <w:t>五、财产保护、保密和免责条款</w:t>
      </w:r>
    </w:p>
    <w:p>
      <w:pPr>
        <w:widowControl/>
        <w:ind w:firstLine="448" w:firstLineChars="200"/>
        <w:jc w:val="left"/>
        <w:rPr>
          <w:sz w:val="24"/>
        </w:rPr>
      </w:pPr>
      <w:r>
        <w:rPr>
          <w:rFonts w:hint="eastAsia"/>
          <w:sz w:val="24"/>
        </w:rPr>
        <w:t>1.</w:t>
      </w:r>
      <w:r>
        <w:rPr>
          <w:rFonts w:hint="eastAsia"/>
          <w:sz w:val="24"/>
        </w:rPr>
        <w:tab/>
      </w:r>
      <w:r>
        <w:rPr>
          <w:rFonts w:hint="eastAsia"/>
          <w:sz w:val="24"/>
        </w:rPr>
        <w:t>中标供应商在提供运维服务工作期间对监测数据等负有保密义务，未经招标人同意，中标供应商不得利用本项目的所有资料对外开展技术交流、业务联系和数据交换等；若发现投标人将监测数据外泄的情况，采购人有权单方终止运维服务合同，不予支付运维费用，所产生的一切后果由投标人负责。</w:t>
      </w:r>
    </w:p>
    <w:p>
      <w:pPr>
        <w:widowControl/>
        <w:ind w:firstLine="448" w:firstLineChars="200"/>
        <w:jc w:val="left"/>
        <w:rPr>
          <w:sz w:val="24"/>
        </w:rPr>
      </w:pPr>
      <w:r>
        <w:rPr>
          <w:rFonts w:hint="eastAsia"/>
          <w:sz w:val="24"/>
        </w:rPr>
        <w:t>2.</w:t>
      </w:r>
      <w:r>
        <w:rPr>
          <w:rFonts w:hint="eastAsia"/>
          <w:sz w:val="24"/>
        </w:rPr>
        <w:tab/>
      </w:r>
      <w:r>
        <w:rPr>
          <w:rFonts w:hint="eastAsia"/>
          <w:sz w:val="24"/>
        </w:rPr>
        <w:t>未经采购人同意，中标供应商不得以任何形式对采购人各类财产进行出售、抵押、转移和调换。</w:t>
      </w:r>
    </w:p>
    <w:p>
      <w:pPr>
        <w:widowControl/>
        <w:ind w:firstLine="448" w:firstLineChars="200"/>
        <w:jc w:val="left"/>
        <w:rPr>
          <w:sz w:val="24"/>
        </w:rPr>
      </w:pPr>
      <w:r>
        <w:rPr>
          <w:rFonts w:hint="eastAsia"/>
          <w:sz w:val="24"/>
        </w:rPr>
        <w:t>3.</w:t>
      </w:r>
      <w:r>
        <w:rPr>
          <w:rFonts w:hint="eastAsia"/>
          <w:sz w:val="24"/>
        </w:rPr>
        <w:tab/>
      </w:r>
      <w:r>
        <w:rPr>
          <w:rFonts w:hint="eastAsia"/>
          <w:sz w:val="24"/>
        </w:rPr>
        <w:t>中标供应商须做好对工作人员的安全教育工作，培养运维人员安全工作意识，在运维工作中如发生因中标供应商工作失误/忽视安全隐患/未按安全操作规定等原因导致的工作事故，由中标供应商负全部法律和经济责任。</w:t>
      </w:r>
    </w:p>
    <w:p>
      <w:pPr>
        <w:widowControl/>
        <w:jc w:val="left"/>
        <w:rPr>
          <w:sz w:val="24"/>
        </w:rPr>
      </w:pPr>
      <w:r>
        <w:rPr>
          <w:sz w:val="24"/>
        </w:rPr>
        <w:br w:type="page"/>
      </w:r>
      <w:r>
        <w:rPr>
          <w:rFonts w:hint="eastAsia" w:ascii="仿宋" w:hAnsi="仿宋" w:eastAsia="仿宋"/>
          <w:b/>
          <w:sz w:val="32"/>
          <w:szCs w:val="32"/>
        </w:rPr>
        <w:t>附件1</w:t>
      </w:r>
    </w:p>
    <w:p>
      <w:pPr>
        <w:jc w:val="center"/>
        <w:outlineLvl w:val="1"/>
        <w:rPr>
          <w:rFonts w:ascii="仿宋" w:hAnsi="仿宋" w:eastAsia="仿宋"/>
          <w:b/>
          <w:sz w:val="32"/>
          <w:szCs w:val="32"/>
        </w:rPr>
      </w:pPr>
      <w:r>
        <w:rPr>
          <w:rFonts w:hint="eastAsia" w:ascii="仿宋" w:hAnsi="仿宋" w:eastAsia="仿宋"/>
          <w:b/>
          <w:sz w:val="32"/>
          <w:szCs w:val="32"/>
        </w:rPr>
        <w:t>考核表</w:t>
      </w:r>
    </w:p>
    <w:p>
      <w:pPr>
        <w:jc w:val="right"/>
        <w:outlineLvl w:val="1"/>
        <w:rPr>
          <w:rFonts w:ascii="仿宋" w:hAnsi="仿宋" w:eastAsia="仿宋"/>
          <w:b/>
          <w:sz w:val="28"/>
          <w:szCs w:val="28"/>
        </w:rPr>
      </w:pPr>
      <w:r>
        <w:rPr>
          <w:rFonts w:hint="eastAsia" w:ascii="仿宋" w:hAnsi="仿宋" w:eastAsia="仿宋"/>
          <w:b/>
          <w:sz w:val="28"/>
          <w:szCs w:val="28"/>
        </w:rPr>
        <w:t>年    月    日</w:t>
      </w: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5791"/>
        <w:gridCol w:w="99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38" w:type="dxa"/>
            <w:vAlign w:val="center"/>
          </w:tcPr>
          <w:p>
            <w:pPr>
              <w:jc w:val="center"/>
              <w:outlineLvl w:val="1"/>
              <w:rPr>
                <w:rFonts w:ascii="仿宋" w:hAnsi="仿宋" w:eastAsia="仿宋"/>
                <w:b/>
                <w:sz w:val="24"/>
              </w:rPr>
            </w:pPr>
            <w:r>
              <w:rPr>
                <w:rFonts w:hint="eastAsia" w:ascii="仿宋" w:hAnsi="仿宋" w:eastAsia="仿宋"/>
                <w:b/>
                <w:sz w:val="24"/>
              </w:rPr>
              <w:t>序号</w:t>
            </w:r>
          </w:p>
        </w:tc>
        <w:tc>
          <w:tcPr>
            <w:tcW w:w="5791" w:type="dxa"/>
            <w:vAlign w:val="center"/>
          </w:tcPr>
          <w:p>
            <w:pPr>
              <w:jc w:val="center"/>
              <w:outlineLvl w:val="1"/>
              <w:rPr>
                <w:rFonts w:ascii="仿宋" w:hAnsi="仿宋" w:eastAsia="仿宋"/>
                <w:b/>
                <w:sz w:val="24"/>
              </w:rPr>
            </w:pPr>
            <w:r>
              <w:rPr>
                <w:rFonts w:hint="eastAsia" w:ascii="仿宋" w:hAnsi="仿宋" w:eastAsia="仿宋"/>
                <w:b/>
                <w:sz w:val="24"/>
              </w:rPr>
              <w:t>考核内容</w:t>
            </w:r>
          </w:p>
        </w:tc>
        <w:tc>
          <w:tcPr>
            <w:tcW w:w="992" w:type="dxa"/>
            <w:vAlign w:val="center"/>
          </w:tcPr>
          <w:p>
            <w:pPr>
              <w:jc w:val="center"/>
              <w:outlineLvl w:val="1"/>
              <w:rPr>
                <w:rFonts w:ascii="仿宋" w:hAnsi="仿宋" w:eastAsia="仿宋"/>
                <w:b/>
                <w:sz w:val="24"/>
              </w:rPr>
            </w:pPr>
            <w:r>
              <w:rPr>
                <w:rFonts w:hint="eastAsia" w:ascii="仿宋" w:hAnsi="仿宋" w:eastAsia="仿宋"/>
                <w:b/>
                <w:sz w:val="24"/>
              </w:rPr>
              <w:t>得分</w:t>
            </w:r>
          </w:p>
        </w:tc>
        <w:tc>
          <w:tcPr>
            <w:tcW w:w="1559" w:type="dxa"/>
            <w:vAlign w:val="center"/>
          </w:tcPr>
          <w:p>
            <w:pPr>
              <w:jc w:val="center"/>
              <w:outlineLvl w:val="1"/>
              <w:rPr>
                <w:rFonts w:ascii="仿宋" w:hAnsi="仿宋" w:eastAsia="仿宋"/>
                <w:b/>
                <w:sz w:val="24"/>
              </w:rPr>
            </w:pPr>
            <w:r>
              <w:rPr>
                <w:rFonts w:hint="eastAsia" w:ascii="仿宋" w:hAnsi="仿宋" w:eastAsia="仿宋"/>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838" w:type="dxa"/>
            <w:vAlign w:val="center"/>
          </w:tcPr>
          <w:p>
            <w:pPr>
              <w:widowControl/>
              <w:jc w:val="center"/>
              <w:rPr>
                <w:rFonts w:ascii="仿宋" w:hAnsi="仿宋" w:eastAsia="仿宋"/>
                <w:kern w:val="0"/>
                <w:sz w:val="24"/>
              </w:rPr>
            </w:pPr>
            <w:r>
              <w:rPr>
                <w:rFonts w:ascii="仿宋" w:hAnsi="仿宋" w:eastAsia="仿宋"/>
                <w:kern w:val="0"/>
                <w:sz w:val="24"/>
              </w:rPr>
              <w:t>1</w:t>
            </w:r>
          </w:p>
        </w:tc>
        <w:tc>
          <w:tcPr>
            <w:tcW w:w="5791" w:type="dxa"/>
            <w:vAlign w:val="center"/>
          </w:tcPr>
          <w:p>
            <w:pPr>
              <w:widowControl/>
              <w:rPr>
                <w:rFonts w:ascii="仿宋" w:hAnsi="仿宋" w:eastAsia="仿宋"/>
                <w:kern w:val="0"/>
                <w:sz w:val="24"/>
              </w:rPr>
            </w:pPr>
            <w:r>
              <w:rPr>
                <w:rFonts w:ascii="仿宋" w:hAnsi="仿宋" w:eastAsia="仿宋"/>
                <w:kern w:val="0"/>
                <w:sz w:val="24"/>
              </w:rPr>
              <w:t>服务响应</w:t>
            </w:r>
            <w:r>
              <w:rPr>
                <w:rFonts w:hint="eastAsia" w:ascii="仿宋" w:hAnsi="仿宋" w:eastAsia="仿宋"/>
                <w:kern w:val="0"/>
                <w:sz w:val="24"/>
              </w:rPr>
              <w:t>情况</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38" w:type="dxa"/>
            <w:vAlign w:val="center"/>
          </w:tcPr>
          <w:p>
            <w:pPr>
              <w:widowControl/>
              <w:jc w:val="center"/>
              <w:rPr>
                <w:rFonts w:ascii="仿宋" w:hAnsi="仿宋" w:eastAsia="仿宋"/>
                <w:kern w:val="0"/>
                <w:sz w:val="24"/>
              </w:rPr>
            </w:pPr>
            <w:r>
              <w:rPr>
                <w:rFonts w:ascii="仿宋" w:hAnsi="仿宋" w:eastAsia="仿宋"/>
                <w:kern w:val="0"/>
                <w:sz w:val="24"/>
              </w:rPr>
              <w:t>2</w:t>
            </w:r>
          </w:p>
        </w:tc>
        <w:tc>
          <w:tcPr>
            <w:tcW w:w="5791" w:type="dxa"/>
            <w:vAlign w:val="center"/>
          </w:tcPr>
          <w:p>
            <w:pPr>
              <w:widowControl/>
              <w:rPr>
                <w:rFonts w:ascii="仿宋" w:hAnsi="仿宋" w:eastAsia="仿宋"/>
                <w:kern w:val="0"/>
                <w:sz w:val="24"/>
              </w:rPr>
            </w:pPr>
            <w:r>
              <w:rPr>
                <w:rFonts w:hint="eastAsia" w:ascii="仿宋" w:hAnsi="仿宋" w:eastAsia="仿宋"/>
                <w:kern w:val="0"/>
                <w:sz w:val="24"/>
              </w:rPr>
              <w:t>运行维护</w:t>
            </w:r>
            <w:r>
              <w:rPr>
                <w:rFonts w:ascii="仿宋" w:hAnsi="仿宋" w:eastAsia="仿宋"/>
                <w:kern w:val="0"/>
                <w:sz w:val="24"/>
              </w:rPr>
              <w:t>记录</w:t>
            </w:r>
            <w:r>
              <w:rPr>
                <w:rFonts w:hint="eastAsia" w:ascii="仿宋" w:hAnsi="仿宋" w:eastAsia="仿宋"/>
                <w:kern w:val="0"/>
                <w:sz w:val="24"/>
              </w:rPr>
              <w:t>情况</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8" w:type="dxa"/>
            <w:vAlign w:val="center"/>
          </w:tcPr>
          <w:p>
            <w:pPr>
              <w:widowControl/>
              <w:jc w:val="center"/>
              <w:rPr>
                <w:rFonts w:ascii="仿宋" w:hAnsi="仿宋" w:eastAsia="仿宋"/>
                <w:kern w:val="0"/>
                <w:sz w:val="24"/>
              </w:rPr>
            </w:pPr>
            <w:r>
              <w:rPr>
                <w:rFonts w:ascii="仿宋" w:hAnsi="仿宋" w:eastAsia="仿宋"/>
                <w:kern w:val="0"/>
                <w:sz w:val="24"/>
              </w:rPr>
              <w:t>3</w:t>
            </w:r>
          </w:p>
        </w:tc>
        <w:tc>
          <w:tcPr>
            <w:tcW w:w="5791" w:type="dxa"/>
            <w:vAlign w:val="center"/>
          </w:tcPr>
          <w:p>
            <w:pPr>
              <w:widowControl/>
              <w:rPr>
                <w:rFonts w:ascii="仿宋" w:hAnsi="仿宋" w:eastAsia="仿宋"/>
                <w:kern w:val="0"/>
                <w:sz w:val="24"/>
              </w:rPr>
            </w:pPr>
            <w:r>
              <w:rPr>
                <w:rFonts w:hint="eastAsia" w:ascii="仿宋" w:hAnsi="仿宋" w:eastAsia="仿宋"/>
                <w:kern w:val="0"/>
                <w:sz w:val="24"/>
              </w:rPr>
              <w:t>各点位设备（数据采集设备、动环设备、视频监控设备等）运行情况</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38" w:type="dxa"/>
            <w:vAlign w:val="center"/>
          </w:tcPr>
          <w:p>
            <w:pPr>
              <w:widowControl/>
              <w:jc w:val="center"/>
              <w:rPr>
                <w:rFonts w:ascii="仿宋" w:hAnsi="仿宋" w:eastAsia="仿宋"/>
                <w:kern w:val="0"/>
                <w:sz w:val="24"/>
              </w:rPr>
            </w:pPr>
            <w:r>
              <w:rPr>
                <w:rFonts w:ascii="仿宋" w:hAnsi="仿宋" w:eastAsia="仿宋"/>
                <w:kern w:val="0"/>
                <w:sz w:val="24"/>
              </w:rPr>
              <w:t>4</w:t>
            </w:r>
          </w:p>
        </w:tc>
        <w:tc>
          <w:tcPr>
            <w:tcW w:w="5791" w:type="dxa"/>
            <w:vAlign w:val="center"/>
          </w:tcPr>
          <w:p>
            <w:pPr>
              <w:widowControl/>
              <w:rPr>
                <w:rFonts w:ascii="仿宋" w:hAnsi="仿宋" w:eastAsia="仿宋"/>
                <w:kern w:val="0"/>
                <w:sz w:val="24"/>
              </w:rPr>
            </w:pPr>
            <w:r>
              <w:rPr>
                <w:rFonts w:ascii="仿宋" w:hAnsi="仿宋" w:eastAsia="仿宋"/>
                <w:kern w:val="0"/>
                <w:sz w:val="24"/>
              </w:rPr>
              <w:t>对</w:t>
            </w:r>
            <w:r>
              <w:rPr>
                <w:rFonts w:hint="eastAsia" w:ascii="仿宋" w:hAnsi="仿宋" w:eastAsia="仿宋"/>
                <w:kern w:val="0"/>
                <w:sz w:val="24"/>
              </w:rPr>
              <w:t>各点位</w:t>
            </w:r>
            <w:r>
              <w:rPr>
                <w:rFonts w:ascii="仿宋" w:hAnsi="仿宋" w:eastAsia="仿宋"/>
                <w:kern w:val="0"/>
                <w:sz w:val="24"/>
              </w:rPr>
              <w:t>现场端设备进行</w:t>
            </w:r>
            <w:r>
              <w:rPr>
                <w:rFonts w:hint="eastAsia" w:ascii="仿宋" w:hAnsi="仿宋" w:eastAsia="仿宋"/>
                <w:kern w:val="0"/>
                <w:sz w:val="24"/>
              </w:rPr>
              <w:t>检查维护情况</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atLeast"/>
        </w:trPr>
        <w:tc>
          <w:tcPr>
            <w:tcW w:w="838" w:type="dxa"/>
            <w:vAlign w:val="center"/>
          </w:tcPr>
          <w:p>
            <w:pPr>
              <w:widowControl/>
              <w:jc w:val="center"/>
              <w:rPr>
                <w:rFonts w:ascii="仿宋" w:hAnsi="仿宋" w:eastAsia="仿宋"/>
                <w:kern w:val="0"/>
                <w:sz w:val="24"/>
              </w:rPr>
            </w:pPr>
            <w:r>
              <w:rPr>
                <w:rFonts w:ascii="仿宋" w:hAnsi="仿宋" w:eastAsia="仿宋"/>
                <w:kern w:val="0"/>
                <w:sz w:val="24"/>
              </w:rPr>
              <w:t>5</w:t>
            </w:r>
          </w:p>
        </w:tc>
        <w:tc>
          <w:tcPr>
            <w:tcW w:w="5791" w:type="dxa"/>
            <w:vAlign w:val="center"/>
          </w:tcPr>
          <w:p>
            <w:pPr>
              <w:widowControl/>
              <w:rPr>
                <w:rFonts w:ascii="仿宋" w:hAnsi="仿宋" w:eastAsia="仿宋"/>
                <w:kern w:val="0"/>
                <w:sz w:val="24"/>
              </w:rPr>
            </w:pPr>
            <w:r>
              <w:rPr>
                <w:rFonts w:hint="eastAsia" w:ascii="仿宋" w:hAnsi="仿宋" w:eastAsia="仿宋"/>
                <w:kern w:val="0"/>
                <w:sz w:val="24"/>
              </w:rPr>
              <w:t>各系统</w:t>
            </w:r>
            <w:r>
              <w:rPr>
                <w:rFonts w:ascii="仿宋" w:hAnsi="仿宋" w:eastAsia="仿宋"/>
                <w:kern w:val="0"/>
                <w:sz w:val="24"/>
              </w:rPr>
              <w:t>软件平台</w:t>
            </w:r>
            <w:r>
              <w:rPr>
                <w:rFonts w:hint="eastAsia" w:ascii="仿宋" w:hAnsi="仿宋" w:eastAsia="仿宋"/>
                <w:kern w:val="0"/>
                <w:sz w:val="24"/>
              </w:rPr>
              <w:t>进行维护和优化情况</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38" w:type="dxa"/>
            <w:vAlign w:val="center"/>
          </w:tcPr>
          <w:p>
            <w:pPr>
              <w:widowControl/>
              <w:jc w:val="center"/>
              <w:rPr>
                <w:rFonts w:ascii="仿宋" w:hAnsi="仿宋" w:eastAsia="仿宋"/>
                <w:kern w:val="0"/>
                <w:sz w:val="24"/>
              </w:rPr>
            </w:pPr>
            <w:r>
              <w:rPr>
                <w:rFonts w:hint="eastAsia" w:ascii="仿宋" w:hAnsi="仿宋" w:eastAsia="仿宋"/>
                <w:kern w:val="0"/>
                <w:sz w:val="24"/>
              </w:rPr>
              <w:t>6</w:t>
            </w:r>
          </w:p>
        </w:tc>
        <w:tc>
          <w:tcPr>
            <w:tcW w:w="5791" w:type="dxa"/>
            <w:vAlign w:val="center"/>
          </w:tcPr>
          <w:p>
            <w:pPr>
              <w:widowControl/>
              <w:rPr>
                <w:rFonts w:ascii="仿宋" w:hAnsi="仿宋" w:eastAsia="仿宋"/>
                <w:kern w:val="0"/>
                <w:sz w:val="24"/>
              </w:rPr>
            </w:pPr>
            <w:r>
              <w:rPr>
                <w:rFonts w:hint="eastAsia" w:ascii="仿宋" w:hAnsi="仿宋" w:eastAsia="仿宋"/>
                <w:kern w:val="0"/>
                <w:sz w:val="24"/>
              </w:rPr>
              <w:t>全部服务器运行维护工作情况</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trPr>
        <w:tc>
          <w:tcPr>
            <w:tcW w:w="838" w:type="dxa"/>
            <w:vAlign w:val="center"/>
          </w:tcPr>
          <w:p>
            <w:pPr>
              <w:widowControl/>
              <w:jc w:val="center"/>
              <w:rPr>
                <w:rFonts w:ascii="仿宋" w:hAnsi="仿宋" w:eastAsia="仿宋"/>
                <w:kern w:val="0"/>
                <w:sz w:val="24"/>
              </w:rPr>
            </w:pPr>
            <w:r>
              <w:rPr>
                <w:rFonts w:hint="eastAsia" w:ascii="仿宋" w:hAnsi="仿宋" w:eastAsia="仿宋"/>
                <w:kern w:val="0"/>
                <w:sz w:val="24"/>
              </w:rPr>
              <w:t>7</w:t>
            </w:r>
          </w:p>
        </w:tc>
        <w:tc>
          <w:tcPr>
            <w:tcW w:w="5791" w:type="dxa"/>
            <w:vAlign w:val="center"/>
          </w:tcPr>
          <w:p>
            <w:pPr>
              <w:widowControl/>
              <w:rPr>
                <w:rFonts w:ascii="仿宋" w:hAnsi="仿宋" w:eastAsia="仿宋"/>
                <w:kern w:val="0"/>
                <w:sz w:val="24"/>
              </w:rPr>
            </w:pPr>
            <w:r>
              <w:rPr>
                <w:rFonts w:ascii="仿宋" w:hAnsi="仿宋" w:eastAsia="仿宋"/>
                <w:kern w:val="0"/>
                <w:sz w:val="24"/>
              </w:rPr>
              <w:t>故障情况</w:t>
            </w:r>
            <w:r>
              <w:rPr>
                <w:rFonts w:hint="eastAsia" w:ascii="仿宋" w:hAnsi="仿宋" w:eastAsia="仿宋"/>
                <w:kern w:val="0"/>
                <w:sz w:val="24"/>
              </w:rPr>
              <w:t>及时</w:t>
            </w:r>
            <w:r>
              <w:rPr>
                <w:rFonts w:ascii="仿宋" w:hAnsi="仿宋" w:eastAsia="仿宋"/>
                <w:kern w:val="0"/>
                <w:sz w:val="24"/>
              </w:rPr>
              <w:t>解决率</w:t>
            </w:r>
          </w:p>
        </w:tc>
        <w:tc>
          <w:tcPr>
            <w:tcW w:w="992" w:type="dxa"/>
          </w:tcPr>
          <w:p>
            <w:pPr>
              <w:jc w:val="center"/>
              <w:outlineLvl w:val="1"/>
              <w:rPr>
                <w:rFonts w:ascii="仿宋" w:hAnsi="仿宋" w:eastAsia="仿宋"/>
                <w:b/>
                <w:sz w:val="24"/>
              </w:rPr>
            </w:pPr>
          </w:p>
        </w:tc>
        <w:tc>
          <w:tcPr>
            <w:tcW w:w="1559" w:type="dxa"/>
            <w:vAlign w:val="center"/>
          </w:tcPr>
          <w:p>
            <w:pPr>
              <w:widowControl/>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629" w:type="dxa"/>
            <w:gridSpan w:val="2"/>
            <w:vAlign w:val="center"/>
          </w:tcPr>
          <w:p>
            <w:pPr>
              <w:widowControl/>
              <w:jc w:val="center"/>
              <w:rPr>
                <w:rFonts w:ascii="仿宋" w:hAnsi="仿宋" w:eastAsia="仿宋"/>
                <w:kern w:val="0"/>
                <w:sz w:val="24"/>
              </w:rPr>
            </w:pPr>
            <w:r>
              <w:rPr>
                <w:rFonts w:hint="eastAsia" w:ascii="仿宋" w:hAnsi="仿宋" w:eastAsia="仿宋"/>
                <w:kern w:val="0"/>
                <w:sz w:val="24"/>
              </w:rPr>
              <w:t>总分</w:t>
            </w:r>
          </w:p>
        </w:tc>
        <w:tc>
          <w:tcPr>
            <w:tcW w:w="992" w:type="dxa"/>
          </w:tcPr>
          <w:p>
            <w:pPr>
              <w:jc w:val="center"/>
              <w:outlineLvl w:val="1"/>
              <w:rPr>
                <w:rFonts w:ascii="仿宋" w:hAnsi="仿宋" w:eastAsia="仿宋"/>
                <w:b/>
                <w:sz w:val="24"/>
              </w:rPr>
            </w:pPr>
          </w:p>
        </w:tc>
        <w:tc>
          <w:tcPr>
            <w:tcW w:w="1559" w:type="dxa"/>
          </w:tcPr>
          <w:p>
            <w:pPr>
              <w:jc w:val="center"/>
              <w:outlineLvl w:val="1"/>
              <w:rPr>
                <w:rFonts w:ascii="仿宋" w:hAnsi="仿宋" w:eastAsia="仿宋"/>
                <w:b/>
                <w:sz w:val="24"/>
              </w:rPr>
            </w:pPr>
          </w:p>
        </w:tc>
      </w:tr>
    </w:tbl>
    <w:p>
      <w:pPr>
        <w:tabs>
          <w:tab w:val="left" w:pos="2505"/>
        </w:tabs>
        <w:spacing w:line="348" w:lineRule="auto"/>
        <w:ind w:left="840"/>
        <w:rPr>
          <w:rFonts w:ascii="仿宋" w:hAnsi="仿宋" w:eastAsia="仿宋" w:cs="宋体"/>
          <w:b/>
          <w:bCs/>
          <w:sz w:val="32"/>
          <w:szCs w:val="32"/>
        </w:rPr>
      </w:pPr>
      <w:r>
        <w:rPr>
          <w:rFonts w:ascii="仿宋" w:hAnsi="仿宋" w:eastAsia="仿宋" w:cs="宋体"/>
          <w:b/>
          <w:bCs/>
          <w:sz w:val="32"/>
          <w:szCs w:val="32"/>
        </w:rPr>
        <w:tab/>
      </w:r>
    </w:p>
    <w:p>
      <w:pPr>
        <w:widowControl/>
        <w:ind w:firstLine="448" w:firstLineChars="200"/>
        <w:jc w:val="left"/>
        <w:rPr>
          <w:sz w:val="24"/>
        </w:rPr>
      </w:pPr>
      <w:r>
        <w:rPr>
          <w:sz w:val="24"/>
        </w:rPr>
        <w:br w:type="page"/>
      </w:r>
    </w:p>
    <w:p>
      <w:pPr>
        <w:widowControl/>
        <w:jc w:val="center"/>
        <w:rPr>
          <w:b/>
          <w:sz w:val="32"/>
          <w:szCs w:val="32"/>
        </w:rPr>
      </w:pPr>
      <w:r>
        <w:rPr>
          <w:b/>
          <w:sz w:val="32"/>
          <w:szCs w:val="32"/>
        </w:rPr>
        <w:t>第三部分  投标须知</w:t>
      </w:r>
    </w:p>
    <w:p>
      <w:pPr>
        <w:pStyle w:val="22"/>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A  说明</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概述</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根据《中华人民共和国政府采购法》、《中华人民共和国政府采购法实施条例》《中华人民共和国招标投标法》等有关法律、法规和规章的规定，本采购项目已具备招标条件。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 本招标文件仅适用于投标邀请函中所叙述项目货物和服务的采购。</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参与招标投标活动的所有各方，对在参与招标投标过程中获悉的国家、商业和技术秘密以及其它依法应当保密的内容，均负有保密义务，违者应对由此造成的后果承担全部法律责任。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 定义</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2.1 “采购人”和“招标人”系指本次招标活动的采购单位。“采购代理机构”系指组织本次招标活动的机构，即“天津市政府采购中心”。 </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2.2 “投标人”系指</w:t>
      </w:r>
      <w:r>
        <w:rPr>
          <w:rFonts w:hint="eastAsia" w:ascii="Times New Roman" w:hAnsi="Times New Roman" w:eastAsia="宋体" w:cs="Times New Roman"/>
          <w:color w:val="auto"/>
        </w:rPr>
        <w:t>响应招标、参加投标竞争的法人、其他组织或者自然人。</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2.3 “服务”</w:t>
      </w:r>
      <w:r>
        <w:rPr>
          <w:rFonts w:ascii="Times New Roman" w:hAnsi="Times New Roman" w:cs="Times New Roman"/>
          <w:color w:val="auto"/>
          <w:szCs w:val="21"/>
        </w:rPr>
        <w:t>系指招标文件规定的投标人为完成采购项目所需承担的全部义务。</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 解释权</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本次招投标的最终解释权归为采购人、采购代理机构。</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本文件未作须知明示，而又有相关法律、法规规定的，采购人、采购代理机构将对此解释为依据有关法律、法规的规定。</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 合格的投标人</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符合《中华人民共和国政府采购法》第二十二条供应商参加政府采购活动应当具备的条件及其他有关法律、法规关于供应商的有关规定，有能力提供招标采购服务的供应商。</w:t>
      </w:r>
    </w:p>
    <w:p>
      <w:pPr>
        <w:pStyle w:val="22"/>
        <w:spacing w:line="360" w:lineRule="auto"/>
        <w:ind w:firstLine="448" w:firstLineChars="200"/>
        <w:jc w:val="both"/>
        <w:rPr>
          <w:rFonts w:ascii="Times New Roman" w:hAnsi="Times New Roman" w:cs="Times New Roman"/>
          <w:color w:val="auto"/>
        </w:rPr>
      </w:pPr>
      <w:r>
        <w:rPr>
          <w:rFonts w:ascii="Times New Roman" w:hAnsi="Times New Roman" w:eastAsia="宋体" w:cs="Times New Roman"/>
          <w:color w:val="auto"/>
        </w:rPr>
        <w:t xml:space="preserve">4.2 </w:t>
      </w:r>
      <w:r>
        <w:rPr>
          <w:rFonts w:ascii="Times New Roman" w:hAnsi="Times New Roman" w:cs="Times New Roman"/>
          <w:color w:val="auto"/>
        </w:rPr>
        <w:t>符合《投标邀请函》中关于供应商资格要求（实质性要求）的规定。</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4.3 关于联合体投标</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若</w:t>
      </w:r>
      <w:r>
        <w:rPr>
          <w:rFonts w:ascii="Times New Roman" w:hAnsi="Times New Roman" w:eastAsia="宋体" w:cs="Times New Roman"/>
          <w:color w:val="auto"/>
        </w:rPr>
        <w:t>《投标邀请函》接受联合体投标的：</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（1）两个以上的自然人、法人或者其他组织可以组成一个联合体，以一个供应商的身份共同参加政府采购。</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（2）联合体各方均应当符合《政府采购法》第二十二条第一款规定的条件，根据采购项目的特殊要求规定投标人特定条件的，联合体各方中至少应当有一方符合《投标邀请函》规定的供应商资格条件（实质性</w:t>
      </w:r>
      <w:r>
        <w:rPr>
          <w:rFonts w:hint="eastAsia" w:ascii="Times New Roman" w:hAnsi="Times New Roman" w:eastAsia="宋体" w:cs="Times New Roman"/>
          <w:color w:val="auto"/>
        </w:rPr>
        <w:t>要求</w:t>
      </w:r>
      <w:r>
        <w:rPr>
          <w:rFonts w:ascii="Times New Roman" w:hAnsi="Times New Roman" w:eastAsia="宋体" w:cs="Times New Roman"/>
          <w:color w:val="auto"/>
        </w:rPr>
        <w:t>）。</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下载招标文件</w:t>
      </w:r>
      <w:r>
        <w:rPr>
          <w:rFonts w:ascii="Times New Roman" w:hAnsi="Times New Roman" w:eastAsia="宋体" w:cs="Times New Roman"/>
          <w:color w:val="auto"/>
        </w:rPr>
        <w:t>时，应以联合体协议中确定的主体方名义</w:t>
      </w:r>
      <w:r>
        <w:rPr>
          <w:rFonts w:hint="eastAsia" w:ascii="Times New Roman" w:hAnsi="Times New Roman" w:eastAsia="宋体" w:cs="Times New Roman"/>
          <w:color w:val="auto"/>
        </w:rPr>
        <w:t>下载</w:t>
      </w:r>
      <w:r>
        <w:rPr>
          <w:rFonts w:ascii="Times New Roman" w:hAnsi="Times New Roman" w:eastAsia="宋体" w:cs="Times New Roman"/>
          <w:color w:val="auto"/>
        </w:rPr>
        <w:t>。</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（5）联合体投标的，应以主体方名义提交投标保证金（如有），对联合体各方均具有约束力。</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（7）联合体中任意一方为中小企业的，该方应提供《中小企业声明函》。</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（8）联合体各方应当共同与采购人签订采购合同，就采购合同约定的事项对采购人承担连带责任。</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4.4 关于关联企业</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除联合体外，法定代表人或单位负责人为同一个人或者存在直接控股、管理关系的不同供应商，不得同时参加同一项目或同一子项目的投标。如同时参加，则评审时将同时被拒绝。</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4.5 关于中小微企业参与投标</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中小微企业是指符合《政府采购促进中小企业发展管理办法》（财库[2020]46号）规定的供应商。中小微企业参与投标应提供《中小企业声明函》。</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2"/>
        <w:spacing w:line="360" w:lineRule="auto"/>
        <w:ind w:firstLine="448" w:firstLineChars="200"/>
        <w:jc w:val="both"/>
        <w:rPr>
          <w:rFonts w:ascii="Times New Roman" w:hAnsi="Times New Roman" w:eastAsia="宋体" w:cs="Times New Roman"/>
          <w:color w:val="auto"/>
        </w:rPr>
      </w:pPr>
      <w:bookmarkStart w:id="4" w:name="OLE_LINK5"/>
      <w:bookmarkStart w:id="5" w:name="OLE_LINK6"/>
      <w:r>
        <w:rPr>
          <w:rFonts w:ascii="Times New Roman" w:hAnsi="Times New Roman" w:eastAsia="宋体" w:cs="Times New Roman"/>
          <w:color w:val="auto"/>
        </w:rPr>
        <w:t>根据《财政部 民政部 中国残疾人联合会关于促进残疾人就业政府采购政策的通知》（财库〔2017〕141号）的规定，残疾人福利性单位视同为小型、微型企业。</w:t>
      </w:r>
    </w:p>
    <w:bookmarkEnd w:id="4"/>
    <w:bookmarkEnd w:id="5"/>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4.6 关于分公司投标</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4.7 关于提供前期服务的供应商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 合格的服务</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5.1 投标人所提供的服务应当没有侵犯任何第三方的知识产权、技术秘密等合法权利。</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5.2 投标人提供的服务应当符合招标文件的要求，并且其质量完全符合国家标准、行业标准或地方标准。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系统软件、通用软件必须是具有在中国境内的合法使用权或版权的正版软件，涉及到第三方提出侵权或知识产权的起诉及支付版税等费用由投标人承担所有责任及费用。</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 投标费用</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无论投标过程中的做法和结果如何，投标人自行承担所有与参加投标有关的费用。</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7. 信息发布</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项目需要公开的有关信息，包括招标公告、更正公告、中标公告、终止公告等与招标活动有关的通知，采购人、采购代理机构均将通过“天津政府采购网（http://tjgp.cz.tj.gov.cn）”和“天津政府采购中心网（http://tjgpc.zwfwb.tj.gov.cn）”公开发布。投标人在参与本采购项目招投标活动期间，请及时关注上述媒体和天津市政府采购中心招投标系统“查看项目文件”的相关信息。因没有及时关注而未能如期获取相关信息，投标人自行承担由此可能产生的风险。</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针对询问或质疑的答复内容需要修改采购文件的，其修改内容应当以政府采购网发布的更正公告为准。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9. 其他</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本《投标须知》的条款如与《投标邀请函》、《招标项目需求》就同一内容的表述不一致的，以《投标邀请函》、《招标项目需求》中规定的内容为准。</w:t>
      </w:r>
    </w:p>
    <w:p>
      <w:pPr>
        <w:pStyle w:val="22"/>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B  招标文件说明</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 招标文件的构成</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10.1招标文件由下述部分组成：</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（2）招标项目需求</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（3）投标须知</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w:t>
      </w:r>
      <w:r>
        <w:rPr>
          <w:rFonts w:ascii="Times New Roman" w:hAnsi="Times New Roman" w:cs="Times New Roman"/>
          <w:color w:val="auto"/>
        </w:rPr>
        <w:t>合同条款</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（5）投标文件格式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w:t>
      </w:r>
      <w:r>
        <w:rPr>
          <w:rFonts w:ascii="Times New Roman" w:hAnsi="Times New Roman" w:cs="Times New Roman"/>
          <w:color w:val="auto"/>
        </w:rPr>
        <w:t>本项目招标文件的更正公告内容（如有）</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10.2 除非有特殊要求，招标文件不单独提供招标项目使用地的自然环境、气候条件、公用设施等情况，投标人被视为熟悉上述与履行合同有关的一切情况。</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加注“★”号条款为实质性条款，不得出现负偏离，发生负偏离即做无效标处理。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10.4 招标文件中涉及的参照品牌、型号仅起说明作用，并没有任何限制性，投标人在投标中可以选用其他替代品牌或型号，但这些替代要实质上优于或相当于招标要求。</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招标文件的澄清和修改</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11.1 投标截止前，采购人、采购代理机构需要对招标文件进行补充或修改的，采购人、采购代理机构将会通过“天津市政府采购网”、“天津市政府采购中心网”以更正公告形式发布。</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11.2 更正公告一经在“天津市政府采购网”、“天津市政府采购中心网”发布，天津市政府采购中心招投标系统将自动发送通知至已</w:t>
      </w:r>
      <w:r>
        <w:rPr>
          <w:rFonts w:hint="eastAsia" w:ascii="Times New Roman" w:hAnsi="Times New Roman" w:eastAsia="宋体" w:cs="Times New Roman"/>
          <w:color w:val="auto"/>
        </w:rPr>
        <w:t>获取招标文件</w:t>
      </w:r>
      <w:r>
        <w:rPr>
          <w:rFonts w:ascii="Times New Roman" w:hAnsi="Times New Roman" w:eastAsia="宋体" w:cs="Times New Roman"/>
          <w:color w:val="auto"/>
        </w:rPr>
        <w:t>供应商的“查看项目文件”，视同已书面通知所有招标文件的收受人。请参与项目的供应商及时关注更正公告，由此导致的风险由投标人自行承担，采购人、采购代理机构不承担任何责任。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11.3 更正公告的内容为招标文件的组成部分。当招标文件与更正公告就同一内容的表述不一致时，以最后发出的更正公告内容为准。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12. </w:t>
      </w:r>
      <w:r>
        <w:rPr>
          <w:rFonts w:ascii="Times New Roman" w:hAnsi="Times New Roman" w:cs="Times New Roman"/>
          <w:color w:val="auto"/>
        </w:rPr>
        <w:t>答疑会和踏勘现场</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12.1 采购人、采购代理机构召开答疑会的，所有投标人应按《投标邀请函》规定的时间、地点参加答疑会。投标人如不参加，其风险由投标人自行承担，采购人、采购代理机构不承担任何责任。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12.2 采购人、采购代理机构组织踏勘现场的，所有投标人按《投标邀请函》规定的时间、地点参加踏勘现场活动。投标人如不参加，其风险由投标人自行承担，采购人、采购代理机构不承担任何责任。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采购人、采购代理机构在答疑会或踏勘现场中口头介绍的情况，除经“天津市政府采购网”、“天津市政府采购中心网”以更正公告的形式发布外，不构成对招标文件的修改，不作为投标人编制投标文件的依据。</w:t>
      </w:r>
    </w:p>
    <w:p>
      <w:pPr>
        <w:pStyle w:val="22"/>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C  投标文件的编制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要求</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13.1 投标人应仔细阅读招标文件的所有内容，按招标文件要求编制投标文件，以使其投标对招标文件做出实质性响应。否则，其投标文件可能被拒绝，投标人须自行承担由此引起的风险和责任。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13.2 投标人应根据招标项目需求和投标文件格式编制投标文件，保证其真实有效，并承担相应的法律责任。</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13.3 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 投标语言及计量单位</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14.2 除在招标文件中另有规定，投标文件所使用的计量单位均应使用中华人民共和国法定计量单位。</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 投标文件格式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15.1 投标人应按招标文件中提供的投标文件格式完整填写。因不按要求编制而引起系统无法检索、读取相关信息时，其后果由投标人自行承担。</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15.2 投标人可对本招标文件“招标项目要求”所列的所有服务进行投标，也可只对其中一包或几包的服务投标；若无特殊说明，每一包的内容不得分项投标，原则上按照整包确定中标供应商。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 如投标多个包的，要求按包分别独立制作投标文件。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投标文件（包括封面和目录）的每一页，从封面开始按阿拉伯数字1、2、3…顺序编制页码。</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 投标报价</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16.1 投标书、开标一览表等各表中的报价，若无特殊说明应采用人民币填报。</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16.2 投标报价是</w:t>
      </w:r>
      <w:r>
        <w:rPr>
          <w:rFonts w:ascii="Times New Roman" w:hAnsi="Times New Roman" w:cs="Times New Roman"/>
          <w:color w:val="auto"/>
        </w:rPr>
        <w:t>为完成招标文件规定的一切工作所需的全部费用的最终优惠价格。</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16.3 除《招标项目需求》中说明并允许外，投标的每一个货物、服务的单项报价以及采购项目的投标总价均只允许有一个报价，任何有选择的报价，采购人、采购代理机构均将予以拒绝。</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17. 投标人资格证明文件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投标人必须提交证明其有资格进行投标和有能力履行合同的文件，作为投标文件的一部分。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（1）《投标邀请函》中规定的供应商资格要求（实质性要求）证明文件；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（2）若国家及行业对投标项目有特殊资格要求的，还须提供特殊资格证明文件；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3</w:t>
      </w:r>
      <w:r>
        <w:rPr>
          <w:rFonts w:ascii="Times New Roman" w:hAnsi="Times New Roman" w:eastAsia="宋体" w:cs="Times New Roman"/>
          <w:color w:val="auto"/>
        </w:rPr>
        <w:t>）涉及本须知中“4. 合格的投标人”相关要求的，按其要求执行。</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 技术响应文件</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18.1 投标人须提交证明其拟提供的服务符合招标文件规定的技术响应文件，作为投标文件的一部分。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18.2 上述技术响应文件可以是文字资料、图纸或数据，</w:t>
      </w:r>
      <w:r>
        <w:rPr>
          <w:rFonts w:ascii="Times New Roman" w:hAnsi="Times New Roman" w:cs="Times New Roman"/>
          <w:color w:val="auto"/>
          <w:szCs w:val="21"/>
        </w:rPr>
        <w:t>其内容应包括但不限于人力、物力等资源的投入以及服务内容、方式、手段、措施、质量保证及建议等。</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 投标保证金</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19.1 按照《招标项目要求》要求执行。</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19.2 符合《政府采购货物和服务招标投标管理办法》和《政府采购法实施条例》相关规定。</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 投标有效期</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20.1 投标有效期为</w:t>
      </w:r>
      <w:r>
        <w:rPr>
          <w:rFonts w:hint="eastAsia" w:ascii="Times New Roman" w:hAnsi="Times New Roman" w:eastAsia="宋体" w:cs="Times New Roman"/>
          <w:color w:val="auto"/>
        </w:rPr>
        <w:t>提交投标文件的截止之日</w:t>
      </w:r>
      <w:r>
        <w:rPr>
          <w:rFonts w:ascii="Times New Roman" w:hAnsi="Times New Roman" w:eastAsia="宋体" w:cs="Times New Roman"/>
          <w:color w:val="auto"/>
        </w:rPr>
        <w:t>起60天。投标书中规定的有效期短于招标文件规定的，其投标将被拒绝。</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 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 投标文件的签署及规定</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21.1 投标文件应按《招标项目要求》和《投标文件格式》如实编写，未尽事宜可自行补充。投标文件内容不完整、格式不符合导致投标文件被误读、漏读或者查找不到相关内容的，投标人自行承担由此产生的风险。</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投标人按照《投标邀请函》的要求提交网上应答并</w:t>
      </w:r>
      <w:r>
        <w:rPr>
          <w:rFonts w:hint="eastAsia" w:ascii="Times New Roman" w:hAnsi="Times New Roman" w:cs="Times New Roman" w:eastAsiaTheme="minorEastAsia"/>
          <w:color w:val="auto"/>
          <w:szCs w:val="32"/>
        </w:rPr>
        <w:t>上传</w:t>
      </w:r>
      <w:r>
        <w:rPr>
          <w:rFonts w:hint="eastAsia" w:ascii="Times New Roman" w:hAnsi="Times New Roman" w:eastAsia="宋体" w:cs="Times New Roman"/>
          <w:color w:val="auto"/>
        </w:rPr>
        <w:t>加盖投标人电子签章的PDF格式电子投标文件（以通过电子签章客户端软件winaip正确读取签章信息为准）。上传的电子投标文件应与网上应答填报内容一致，当出现上传的电子投标文件报价与网上应答报价不一致时，以网上应答为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21.3 若有修改须于规定时间内重新提交电子投标文件。投标文件因模糊不清或表达不清所引起的后果由投标人自负。</w:t>
      </w:r>
    </w:p>
    <w:p>
      <w:pPr>
        <w:pStyle w:val="22"/>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D  投标文件的网上应答和提交</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投标人须按《投标邀请函》规定提交网上应答并上传加盖投标人电子签章的PDF格式电子投标文件（以通过电子签章客户端软件winaip正确读取签章信息为准）。具体方式：</w:t>
      </w:r>
      <w:r>
        <w:rPr>
          <w:rFonts w:ascii="Times New Roman" w:hAnsi="Times New Roman" w:eastAsia="宋体" w:cs="Times New Roman"/>
          <w:color w:val="auto"/>
        </w:rPr>
        <w:t>使用天津市电子认证中心发出的CA数字证书（USBKey）登陆</w:t>
      </w:r>
      <w:r>
        <w:rPr>
          <w:rFonts w:hint="eastAsia" w:ascii="Times New Roman" w:hAnsi="Times New Roman" w:eastAsia="宋体" w:cs="Times New Roman"/>
          <w:color w:val="auto"/>
        </w:rPr>
        <w:t>天津市政府采购中心网（网址：http://tjgpc.zwfwb.tj.gov.cn）-“网上招投标”-“供应商登录”提交网上应答并上传加盖投标人电子签章的PDF格式电子投标文件（以通过电子签章客户端软件winaip正确读取签章信息为准）。如有需要，投标人可于工作时间且在招标文件规定的截止时间前到天津市河东区红星路79号天津市政府采购中心窗口完成上述操作。</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 制作和上传电子投标文件要求</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23.1 投标人须下载天津市政府采购中心网-下载中心-《远程招投标电子签章客户端用户使用说明及安装程序》。</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23.2 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PDF格式电子投标文件（以通过电子签章客户端软件winaip正确读取签章信息为准），并于投标截止时间前上传至天津市政府采购中心招投标系统。</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投标文件上传准确、有效。</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投标人应当按照《远程招投标电子签章客户端用户使用说明》的要求使用电子签章客户端软件winaip。不按本使用说明使用电子签章客户端软件winaip，或使用word等其它软件进行签章工作，将会造成电子签章客户端软件winaip无法读取签章信息，并导致投标无效。</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23.3 投标人须保证电子投标文件清晰，便于识别，如因上传、扫描、格式等原因导致评审时受到影响，由投标人自行承担相应责任。</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24. 投标人须承诺接受电子投标的方式，并自行承担由此带来的废标、无效投标的风险。</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25. 未按招标文件的规定提交网上应答和上传加盖投标人电子签章的PDF格式电子投标文件（以通过电子签章客户端软件winaip正确读取签章信息为准）的投标将被拒绝。</w:t>
      </w:r>
    </w:p>
    <w:p>
      <w:pPr>
        <w:pStyle w:val="22"/>
        <w:spacing w:line="360" w:lineRule="auto"/>
        <w:ind w:firstLine="448" w:firstLineChars="200"/>
        <w:jc w:val="both"/>
        <w:rPr>
          <w:rFonts w:ascii="Times New Roman" w:hAnsi="Times New Roman" w:eastAsia="宋体" w:cs="Times New Roman"/>
          <w:color w:val="auto"/>
        </w:rPr>
      </w:pPr>
    </w:p>
    <w:p>
      <w:pPr>
        <w:pStyle w:val="22"/>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E  开标和评标</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 开标解密和资格审查</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26.1 投标人须于《投标邀请函》中规定的时间内使用天津市电子认证中心发出的CA数字证书（USBKey）登陆天津市政府采购中心网（网址：http://tjgpc.zwfwb.tj.gov.cn）-“网上招投标”-“供应商登录”完成开标解密。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26.2 由于投标人原因，没有在规定时间内进行网上开标解密，视为无效投标。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26.3 开标解密后，对开标结果进行网上公示，投标人报价为空、为零的将被视为无效投标。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26.4 开标解密后，投标代表人应保持电话畅通并具备相应的网络环境，随时准备接受评委的网上询标。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26.5 投标人须于规定时间内通过天津市政府采购中心招投标系统“询标解答”对评委的网上询标予以解答。如投标代表人被要求到评审现场答疑时，须携带身份证等有效证件原件，以备查验。</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26.6 投标截止时间后，投标人不足3家的，不得开标。</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开标解密后，采购人或采购代理机构应当依法对投标人的资格进行审查。资格审查合格的投标人不足3家的，不得评标。</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27. 评标委员会</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评标委员会成员由采购人代表和评审专家组成，成员人数应当为5人以上单数，其中评审专家不得少于成员总数的三分之二。</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27.2 评标委员会负责审查投标文件是否符合招标文件的要求，并进行审查、询标、评估和比较。评标委员会认为必要时，可向投标人进行询标。</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出现符合专业条件的供应商或者对招标文件作实质性响应的供应商不足三家，或投标人的报价均超过了采购预算，采购人不能支付的情况时，或出现影响采购公正的违法、违规行为时，评标委员会有权宣布废标。</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评标委员会负责完成全部评标工作，向采购人提出经评标委员会签字的书面评标报告。</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 对投标文件的审查和响应性的确定</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投标截止时间后，除评标委员会要求提供外，不接受投标人及与投标人有关的任何一方递交的材料。</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3</w:t>
      </w:r>
      <w:r>
        <w:rPr>
          <w:rFonts w:ascii="Times New Roman" w:hAnsi="Times New Roman" w:eastAsia="宋体" w:cs="Times New Roman"/>
          <w:color w:val="auto"/>
        </w:rPr>
        <w:t xml:space="preserve"> 实质上没有响应招标文件要求的投标文件，将被拒绝。投标人不得通过修改或撤回不符合要求的重大偏离而使其投标成为响应性的投标。如出现下列情况之一的，其投标将被拒绝或中标无效：</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（1）投标文件未按招标文件的要求加盖电子签章的；</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（2）投标有效期短于招标文件要求的；</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（3）投标文件中提供虚假材料的；</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（4）不能满足招标文件中任何一条实质性要求或加注“★”号条款出现负偏离或经评标委员会认定未实质性响应招标文件要求的或投标内容不符合相关强制性规定的；</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（5）未按时进行网上解密或电子投标文件损坏、无效的；</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（6）投标报价超出采购预算或最高限价；</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（8）单位负责人或法定代表人为同一人，或者存在控股、管理关系的不同供应商，参加同一包或者未划分包的同一项目投标的，相关投标均无效；</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（9）其他法定投标无效的情形。</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评标委员会对确定为实质上响应的投标进行审核，</w:t>
      </w:r>
      <w:r>
        <w:rPr>
          <w:rFonts w:ascii="Times New Roman" w:hAnsi="Times New Roman" w:eastAsia="宋体" w:cs="Times New Roman"/>
          <w:color w:val="auto"/>
        </w:rPr>
        <w:t>投标文件报价出现前后不一致的</w:t>
      </w:r>
      <w:r>
        <w:rPr>
          <w:rFonts w:hint="eastAsia" w:ascii="Times New Roman" w:hAnsi="Times New Roman" w:eastAsia="宋体" w:cs="Times New Roman"/>
          <w:color w:val="auto"/>
        </w:rPr>
        <w:t>，修改错误的原则如下：</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（1）投标文件中开标一览表（报价表）内容与投标文件中相应内容不一致的，以开标一览表（报价表）为准；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（2）大写金额和小写金额不一致的，以大写金额为准；</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（3）单价金额小数点或者百分比有明显错位的，以开标一览表的总价为准，并修改单价；</w:t>
      </w:r>
    </w:p>
    <w:p>
      <w:pPr>
        <w:pStyle w:val="22"/>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（4）总价金额与按单价汇总金额不一致的，以单价金额计算结果为准。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（5）同时出现两种以上不一致的，按照前款规定的顺序修正。修正后的报价经投标人确认后产生约束力，投标人不确认的，其投标无效。</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评标委员会将要求投标人按上述修改错误的方法调整投标报价，投标人同意后，调整后的报价对投标人起约束作用。如果投标人不接受修改后的报价，其投标将被拒绝。</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 投标文件的澄清</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29.1 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29.2 投标人澄清、说明、答复或者补充的内容须为PDF格式并加盖电子签章后上传至天津市政府采购中心招投标系统。</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29.3 投标人的澄清、说明、答复或者补充应在规定的时间内完成，并不得超出投标文件的范围或对投标内容进行实质性的修改。</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29.4 澄清文件将作为投标文件的一部分，与投标文件具有同等的法律效力。</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30. 投标的评估和比较</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评标委员会将根据招标文件确定的评标原则和评标方法对确定为实质上响应招标文件要求的投标进行评估和比较。</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评标原则和评标方法</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31.1 评标原则</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（1）评标委员会应当按照客观、公正、审慎的原则，根据招标文件规定的评审程序、评审方法和评审标准进行独立评审。</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（3）对招标文件中描述有歧义或前后不一致的地方，</w:t>
      </w:r>
      <w:r>
        <w:rPr>
          <w:rFonts w:hint="eastAsia" w:ascii="Times New Roman" w:hAnsi="Times New Roman" w:eastAsia="宋体" w:cs="Times New Roman"/>
          <w:color w:val="auto"/>
        </w:rPr>
        <w:t>但不影响项目评审的，</w:t>
      </w:r>
      <w:r>
        <w:rPr>
          <w:rFonts w:ascii="Times New Roman" w:hAnsi="Times New Roman" w:eastAsia="宋体" w:cs="Times New Roman"/>
          <w:color w:val="auto"/>
        </w:rPr>
        <w:t>评标委员会有权进行评判，但对同一条款的评判应适用于每个投标人。</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31.2 评标方法</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（3）评标委员会审查产品资质或检测报告等相关文件符合性时，应综合考虑行业特点、交易习惯、采购需求最本质原义等情况，而不应以投标文件中产品名称与招标文件产品名称是否一致作为审查的标准。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中标候选供应商产生办法：按得分由高到低顺序确定中标候选供应商；得分相同的，按投标报价由低到高顺序确定中标候选供应商；得分且投标报价相同的，按技术指标优劣顺序确定中标候选供应商，采购人</w:t>
      </w:r>
      <w:r>
        <w:rPr>
          <w:rFonts w:hint="eastAsia" w:ascii="Times New Roman" w:hAnsi="Times New Roman" w:eastAsia="宋体" w:cs="Times New Roman"/>
          <w:color w:val="auto"/>
        </w:rPr>
        <w:t>或评标委员会经采购人授权后</w:t>
      </w:r>
      <w:r>
        <w:rPr>
          <w:rFonts w:ascii="Times New Roman" w:hAnsi="Times New Roman" w:eastAsia="宋体" w:cs="Times New Roman"/>
          <w:color w:val="auto"/>
        </w:rPr>
        <w:t>按中标候选供应商顺序确定中标供应商。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（5）根据《政府采购货物和服务招标投标管理办法》（</w:t>
      </w:r>
      <w:r>
        <w:rPr>
          <w:rFonts w:hint="eastAsia" w:ascii="Times New Roman" w:hAnsi="Times New Roman" w:eastAsia="宋体" w:cs="Times New Roman"/>
          <w:color w:val="auto"/>
        </w:rPr>
        <w:t>财政部</w:t>
      </w:r>
      <w:r>
        <w:rPr>
          <w:rFonts w:ascii="Times New Roman" w:hAnsi="Times New Roman" w:eastAsia="宋体" w:cs="Times New Roman"/>
          <w:color w:val="auto"/>
        </w:rPr>
        <w:t>令第</w:t>
      </w:r>
      <w:r>
        <w:rPr>
          <w:rFonts w:hint="eastAsia" w:ascii="Times New Roman" w:hAnsi="Times New Roman" w:eastAsia="宋体" w:cs="Times New Roman"/>
          <w:color w:val="auto"/>
        </w:rPr>
        <w:t>87</w:t>
      </w:r>
      <w:r>
        <w:rPr>
          <w:rFonts w:ascii="Times New Roman" w:hAnsi="Times New Roman" w:eastAsia="宋体" w:cs="Times New Roman"/>
          <w:color w:val="auto"/>
        </w:rPr>
        <w:t>号）第43条规定，如评审现场经财政部门批准本项目转为其他采购方式的，按相应采购方式程序执行。</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其他注意事项</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32.1 在开标、投标期间，投标人不得向评标委员会成员或采购代理机构询问评标情况、施加任何影响，不得进行旨在影响评标结果的活动。</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2"/>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32. 3 本项目不接受赠品、回扣或者与采购无关的其他商品、服务。</w:t>
      </w:r>
    </w:p>
    <w:p>
      <w:pPr>
        <w:pStyle w:val="22"/>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F  授予合同</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 中标供应商的产生</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33.1 采购人可以事先授权评标委员会直接确定中标供应商。</w:t>
      </w:r>
    </w:p>
    <w:p>
      <w:pPr>
        <w:pStyle w:val="22"/>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33.2 采购人也可以按照《政府采购法》及其实施条例等法律法规的规定和招标文件的要求确认中标供应商。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中标通知</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中标公告发布同时，采购代理机构将通过天津市政府采购中心招投标系统以电子形式向中标供应商发出《中标通知书》（请使用天津市电子认证中心发出的CA数字证书（USBKey）登陆天津市政府采购中心网（网址：http://tjgpc.zwfwb.tj.gov.cn）-“网上招投标”-“供应商登录”，并从“供应商系统”的“查看项目文件”中获取）。《中标通知书》一经发出即发生法律效力。</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投标人可使用天津市电子认证中心发出的CA数字证书（USBKey）登陆天津市政府采购中心网（网址：http://tjgpc.zwfwb.tj.gov.cn）-“网上招投标”-“供应商登录”，并从“供应商系统”的“项目资审情况”中获取未通过资格审查的原因或从“供应商系统”的“查看排序和得分”中获取未中标人本人的评审得分与排序。</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 签订合同</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36.1 采购人与中标供应商应当在中标通知书发出之日起三十日内，按照招标文件确定的事项签订政府采购合同。合同文本请使用天津市电子认证中心发出的CA数字证书（USBKey）登陆天津市政府采购中心网（网址：http://tjgpc.zwfwb.tj.gov.cn）-“网上招投标”-“供应商登录”，并从“供应商系统”的“合同”中获取。</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36.2 招标文件、中标供应商的投标文件及其澄清文件等，均为签订合同的依据，且为合同的组成部分。</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 履约保证金</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37.1 若《招标项目要求》规定须提交履约保证金的，合同签订前，中标供应商须按照规定要求提交履约保证金，履约保证金的有效期至货到并最终验收合格之日。</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37.2 中标供应商未能按合同规定履行其义务，采购人有权没收其履约保证金。</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38. 中标供应商拒绝与采购人签订合同的，采购人可以按照评审报告推荐的中标候选人名单排序，确定下一候选人为中标供应商，也可以重新开展政府采购活动。</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 合同分包</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39.1 未经采购人同意，中标供应商不得分包合同。</w:t>
      </w:r>
    </w:p>
    <w:p>
      <w:pPr>
        <w:pStyle w:val="22"/>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39.2 政府采购合同分包履行的，中标供应商就采购项目和分包项目向采购人负责，分包供应商就分包项目承担责任。</w:t>
      </w:r>
    </w:p>
    <w:p>
      <w:pPr>
        <w:widowControl/>
        <w:jc w:val="left"/>
        <w:rPr>
          <w:b/>
          <w:bCs/>
          <w:kern w:val="28"/>
          <w:sz w:val="32"/>
          <w:szCs w:val="32"/>
          <w:lang w:val="zh-CN" w:eastAsia="zh-CN"/>
        </w:rPr>
      </w:pPr>
      <w:r>
        <w:br w:type="page"/>
      </w:r>
    </w:p>
    <w:p>
      <w:pPr>
        <w:pStyle w:val="13"/>
        <w:rPr>
          <w:rFonts w:ascii="Times New Roman" w:hAnsi="Times New Roman"/>
        </w:rPr>
      </w:pPr>
      <w:r>
        <w:rPr>
          <w:rFonts w:ascii="Times New Roman" w:hAnsi="Times New Roman"/>
        </w:rPr>
        <w:t>第四部分  合同条款</w:t>
      </w:r>
    </w:p>
    <w:p>
      <w:pPr>
        <w:tabs>
          <w:tab w:val="left" w:pos="412"/>
          <w:tab w:val="left" w:pos="618"/>
        </w:tabs>
        <w:spacing w:line="520" w:lineRule="exact"/>
        <w:jc w:val="center"/>
        <w:rPr>
          <w:b/>
          <w:sz w:val="30"/>
          <w:szCs w:val="30"/>
        </w:rPr>
      </w:pPr>
      <w:r>
        <w:rPr>
          <w:b/>
          <w:sz w:val="30"/>
          <w:szCs w:val="30"/>
        </w:rPr>
        <w:t>合同一般条款</w:t>
      </w:r>
    </w:p>
    <w:p>
      <w:pPr>
        <w:tabs>
          <w:tab w:val="left" w:pos="0"/>
          <w:tab w:val="left" w:pos="315"/>
        </w:tabs>
        <w:spacing w:line="520" w:lineRule="exact"/>
        <w:ind w:firstLine="480"/>
        <w:rPr>
          <w:sz w:val="24"/>
          <w:szCs w:val="24"/>
        </w:rPr>
      </w:pPr>
      <w:r>
        <w:rPr>
          <w:sz w:val="24"/>
          <w:szCs w:val="24"/>
        </w:rPr>
        <w:t xml:space="preserve">需方：  </w:t>
      </w:r>
    </w:p>
    <w:p>
      <w:pPr>
        <w:tabs>
          <w:tab w:val="left" w:pos="0"/>
          <w:tab w:val="left" w:pos="315"/>
        </w:tabs>
        <w:spacing w:line="520" w:lineRule="exact"/>
        <w:ind w:firstLine="480"/>
        <w:rPr>
          <w:sz w:val="24"/>
          <w:szCs w:val="24"/>
        </w:rPr>
      </w:pPr>
      <w:r>
        <w:rPr>
          <w:sz w:val="24"/>
          <w:szCs w:val="24"/>
        </w:rPr>
        <w:t xml:space="preserve">供方： </w:t>
      </w:r>
    </w:p>
    <w:p>
      <w:pPr>
        <w:tabs>
          <w:tab w:val="left" w:pos="0"/>
          <w:tab w:val="left" w:pos="315"/>
        </w:tabs>
        <w:spacing w:line="520" w:lineRule="exact"/>
        <w:ind w:firstLine="480"/>
        <w:rPr>
          <w:sz w:val="24"/>
          <w:szCs w:val="24"/>
        </w:rPr>
      </w:pPr>
      <w:r>
        <w:rPr>
          <w:sz w:val="24"/>
          <w:szCs w:val="24"/>
        </w:rPr>
        <w:t>供、需双方根据   项目（项目编号：TGPC-201 - ）的政府采购结果和</w:t>
      </w:r>
      <w:r>
        <w:rPr>
          <w:rFonts w:hint="eastAsia"/>
          <w:sz w:val="24"/>
          <w:szCs w:val="24"/>
        </w:rPr>
        <w:t>招标</w:t>
      </w:r>
      <w:r>
        <w:rPr>
          <w:sz w:val="24"/>
          <w:szCs w:val="24"/>
        </w:rPr>
        <w:t>文件的要求，并经双方协商一致，达成  合同：</w:t>
      </w:r>
    </w:p>
    <w:p>
      <w:pPr>
        <w:tabs>
          <w:tab w:val="left" w:pos="0"/>
          <w:tab w:val="left" w:pos="315"/>
        </w:tabs>
        <w:spacing w:line="520" w:lineRule="exact"/>
        <w:ind w:firstLine="480"/>
        <w:rPr>
          <w:sz w:val="24"/>
          <w:szCs w:val="24"/>
        </w:rPr>
      </w:pPr>
      <w:r>
        <w:rPr>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pPr>
        <w:tabs>
          <w:tab w:val="left" w:pos="1133"/>
        </w:tabs>
        <w:spacing w:line="520" w:lineRule="exact"/>
        <w:ind w:firstLine="448" w:firstLineChars="200"/>
        <w:rPr>
          <w:sz w:val="24"/>
          <w:szCs w:val="24"/>
        </w:rPr>
      </w:pPr>
      <w:r>
        <w:rPr>
          <w:sz w:val="24"/>
          <w:szCs w:val="24"/>
        </w:rPr>
        <w:t>一、采购内容：  （详见附件）</w:t>
      </w:r>
    </w:p>
    <w:p>
      <w:pPr>
        <w:tabs>
          <w:tab w:val="left" w:pos="1133"/>
        </w:tabs>
        <w:spacing w:line="520" w:lineRule="exact"/>
        <w:ind w:firstLine="448" w:firstLineChars="200"/>
        <w:rPr>
          <w:sz w:val="24"/>
          <w:szCs w:val="24"/>
        </w:rPr>
      </w:pPr>
      <w:r>
        <w:rPr>
          <w:sz w:val="24"/>
          <w:szCs w:val="24"/>
        </w:rPr>
        <w:t xml:space="preserve">    合同总价款：人民币  元</w:t>
      </w:r>
    </w:p>
    <w:p>
      <w:pPr>
        <w:tabs>
          <w:tab w:val="left" w:pos="1133"/>
        </w:tabs>
        <w:spacing w:line="520" w:lineRule="exact"/>
        <w:ind w:firstLine="448" w:firstLineChars="200"/>
        <w:rPr>
          <w:sz w:val="24"/>
          <w:szCs w:val="24"/>
        </w:rPr>
      </w:pPr>
      <w:r>
        <w:rPr>
          <w:sz w:val="24"/>
          <w:szCs w:val="24"/>
        </w:rPr>
        <w:t xml:space="preserve">    大写：人民币  元整</w:t>
      </w:r>
    </w:p>
    <w:p>
      <w:pPr>
        <w:tabs>
          <w:tab w:val="left" w:pos="360"/>
        </w:tabs>
        <w:spacing w:line="520" w:lineRule="exact"/>
        <w:ind w:firstLine="448" w:firstLineChars="200"/>
        <w:rPr>
          <w:sz w:val="24"/>
          <w:szCs w:val="24"/>
        </w:rPr>
      </w:pPr>
      <w:r>
        <w:rPr>
          <w:sz w:val="24"/>
          <w:szCs w:val="24"/>
        </w:rPr>
        <w:t>二、质量要求及对质量负责条件和期限：见附件。</w:t>
      </w:r>
    </w:p>
    <w:p>
      <w:pPr>
        <w:tabs>
          <w:tab w:val="left" w:pos="360"/>
        </w:tabs>
        <w:spacing w:line="520" w:lineRule="exact"/>
        <w:ind w:firstLine="448" w:firstLineChars="200"/>
        <w:rPr>
          <w:sz w:val="24"/>
          <w:szCs w:val="24"/>
        </w:rPr>
      </w:pPr>
      <w:r>
        <w:rPr>
          <w:sz w:val="24"/>
          <w:szCs w:val="24"/>
        </w:rPr>
        <w:t>三、供方所提供的服务必须具有合法手续及相关文件。如涉及知识产权则必须是自己拥有或合法使用的。</w:t>
      </w:r>
    </w:p>
    <w:p>
      <w:pPr>
        <w:tabs>
          <w:tab w:val="left" w:pos="360"/>
        </w:tabs>
        <w:spacing w:line="520" w:lineRule="exact"/>
        <w:ind w:firstLine="448" w:firstLineChars="200"/>
        <w:rPr>
          <w:sz w:val="24"/>
          <w:szCs w:val="24"/>
        </w:rPr>
      </w:pPr>
      <w:r>
        <w:rPr>
          <w:sz w:val="24"/>
          <w:szCs w:val="24"/>
        </w:rPr>
        <w:t>四、</w:t>
      </w:r>
      <w:r>
        <w:rPr>
          <w:rFonts w:hint="eastAsia"/>
          <w:sz w:val="24"/>
          <w:szCs w:val="24"/>
        </w:rPr>
        <w:t>服务</w:t>
      </w:r>
      <w:r>
        <w:rPr>
          <w:sz w:val="24"/>
          <w:szCs w:val="24"/>
        </w:rPr>
        <w:t>时间、地点、方式：见附件。</w:t>
      </w:r>
    </w:p>
    <w:p>
      <w:pPr>
        <w:tabs>
          <w:tab w:val="left" w:pos="360"/>
        </w:tabs>
        <w:spacing w:line="520" w:lineRule="exact"/>
        <w:ind w:firstLine="448" w:firstLineChars="200"/>
        <w:rPr>
          <w:sz w:val="24"/>
          <w:szCs w:val="24"/>
        </w:rPr>
      </w:pPr>
      <w:r>
        <w:rPr>
          <w:sz w:val="24"/>
          <w:szCs w:val="24"/>
        </w:rPr>
        <w:t>五、供方应随</w:t>
      </w:r>
      <w:r>
        <w:rPr>
          <w:rFonts w:hint="eastAsia"/>
          <w:sz w:val="24"/>
          <w:szCs w:val="24"/>
        </w:rPr>
        <w:t>服务</w:t>
      </w:r>
      <w:r>
        <w:rPr>
          <w:sz w:val="24"/>
          <w:szCs w:val="24"/>
        </w:rPr>
        <w:t>向需方交付的相关资料。如果所提交文件是外文的，供方有义务为需方提供中文或译成中文文件。</w:t>
      </w:r>
    </w:p>
    <w:p>
      <w:pPr>
        <w:tabs>
          <w:tab w:val="left" w:pos="360"/>
          <w:tab w:val="left" w:pos="721"/>
        </w:tabs>
        <w:spacing w:line="520" w:lineRule="exact"/>
        <w:rPr>
          <w:sz w:val="24"/>
          <w:szCs w:val="24"/>
        </w:rPr>
      </w:pPr>
      <w:r>
        <w:rPr>
          <w:sz w:val="24"/>
          <w:szCs w:val="24"/>
        </w:rPr>
        <w:t xml:space="preserve">    六、验收工作由需方负责对合同进行验收。</w:t>
      </w:r>
    </w:p>
    <w:p>
      <w:pPr>
        <w:tabs>
          <w:tab w:val="left" w:pos="360"/>
        </w:tabs>
        <w:spacing w:line="520" w:lineRule="exact"/>
        <w:rPr>
          <w:sz w:val="24"/>
          <w:szCs w:val="24"/>
        </w:rPr>
      </w:pPr>
      <w:r>
        <w:rPr>
          <w:sz w:val="24"/>
          <w:szCs w:val="24"/>
        </w:rPr>
        <w:t xml:space="preserve">    七、货款支付方式：见附件。</w:t>
      </w:r>
    </w:p>
    <w:p>
      <w:pPr>
        <w:tabs>
          <w:tab w:val="left" w:pos="0"/>
          <w:tab w:val="left" w:pos="721"/>
        </w:tabs>
        <w:spacing w:line="520" w:lineRule="exact"/>
        <w:ind w:firstLine="448" w:firstLineChars="200"/>
        <w:rPr>
          <w:sz w:val="24"/>
          <w:szCs w:val="24"/>
        </w:rPr>
      </w:pPr>
      <w:r>
        <w:rPr>
          <w:sz w:val="24"/>
          <w:szCs w:val="24"/>
        </w:rPr>
        <w:t>供方开户银行（汉字全称）：</w:t>
      </w:r>
      <w:r>
        <w:rPr>
          <w:sz w:val="24"/>
          <w:szCs w:val="24"/>
          <w:u w:val="single"/>
        </w:rPr>
        <w:t xml:space="preserve">                                        </w:t>
      </w:r>
      <w:r>
        <w:rPr>
          <w:sz w:val="24"/>
          <w:szCs w:val="24"/>
        </w:rPr>
        <w:t>，</w:t>
      </w:r>
    </w:p>
    <w:p>
      <w:pPr>
        <w:tabs>
          <w:tab w:val="left" w:pos="0"/>
          <w:tab w:val="left" w:pos="721"/>
        </w:tabs>
        <w:spacing w:line="520" w:lineRule="exact"/>
        <w:ind w:firstLine="479" w:firstLineChars="214"/>
        <w:rPr>
          <w:sz w:val="24"/>
          <w:szCs w:val="24"/>
        </w:rPr>
      </w:pPr>
      <w:r>
        <w:rPr>
          <w:sz w:val="24"/>
          <w:szCs w:val="24"/>
        </w:rPr>
        <w:t>行号（数字代码）：</w:t>
      </w:r>
      <w:r>
        <w:rPr>
          <w:sz w:val="24"/>
          <w:szCs w:val="24"/>
          <w:u w:val="single"/>
        </w:rPr>
        <w:t xml:space="preserve">                                                </w:t>
      </w:r>
      <w:r>
        <w:rPr>
          <w:sz w:val="24"/>
          <w:szCs w:val="24"/>
        </w:rPr>
        <w:t>，</w:t>
      </w:r>
    </w:p>
    <w:p>
      <w:pPr>
        <w:tabs>
          <w:tab w:val="left" w:pos="0"/>
          <w:tab w:val="left" w:pos="721"/>
        </w:tabs>
        <w:spacing w:line="520" w:lineRule="exact"/>
        <w:ind w:firstLine="479" w:firstLineChars="214"/>
        <w:rPr>
          <w:sz w:val="24"/>
          <w:szCs w:val="24"/>
        </w:rPr>
      </w:pPr>
      <w:r>
        <w:rPr>
          <w:sz w:val="24"/>
          <w:szCs w:val="24"/>
        </w:rPr>
        <w:t>帐       号：</w:t>
      </w:r>
      <w:r>
        <w:rPr>
          <w:sz w:val="24"/>
          <w:szCs w:val="24"/>
          <w:u w:val="single"/>
        </w:rPr>
        <w:t xml:space="preserve">                                                   </w:t>
      </w:r>
      <w:r>
        <w:rPr>
          <w:szCs w:val="24"/>
        </w:rPr>
        <w:t>。</w:t>
      </w:r>
    </w:p>
    <w:p>
      <w:pPr>
        <w:pStyle w:val="10"/>
        <w:spacing w:line="520" w:lineRule="exact"/>
        <w:ind w:left="-97" w:leftChars="-50" w:firstLine="448" w:firstLineChars="200"/>
        <w:rPr>
          <w:sz w:val="24"/>
          <w:szCs w:val="24"/>
        </w:rPr>
      </w:pPr>
      <w:r>
        <w:rPr>
          <w:rFonts w:hint="eastAsia"/>
          <w:sz w:val="24"/>
          <w:szCs w:val="24"/>
        </w:rPr>
        <w:t>八</w:t>
      </w:r>
      <w:r>
        <w:rPr>
          <w:sz w:val="24"/>
          <w:szCs w:val="24"/>
        </w:rPr>
        <w:t>、有关涉及本合同供方向天津市政府采购中心所提交的投标文件及有关澄清资料和服务承诺均视为本合同不可分割的部分，对供方具有约束力。</w:t>
      </w:r>
    </w:p>
    <w:p>
      <w:pPr>
        <w:tabs>
          <w:tab w:val="left" w:pos="0"/>
          <w:tab w:val="left" w:pos="315"/>
        </w:tabs>
        <w:spacing w:line="520" w:lineRule="exact"/>
        <w:ind w:firstLine="448" w:firstLineChars="200"/>
        <w:rPr>
          <w:sz w:val="24"/>
          <w:szCs w:val="24"/>
        </w:rPr>
      </w:pPr>
      <w:r>
        <w:rPr>
          <w:rFonts w:hint="eastAsia"/>
          <w:sz w:val="24"/>
          <w:szCs w:val="24"/>
        </w:rPr>
        <w:t>九</w:t>
      </w:r>
      <w:r>
        <w:rPr>
          <w:sz w:val="24"/>
          <w:szCs w:val="24"/>
        </w:rPr>
        <w:t>、本合同一式   份，需方留存   份，供方留存   份，均具同等效力，签字盖章后生效。</w:t>
      </w:r>
    </w:p>
    <w:tbl>
      <w:tblPr>
        <w:tblStyle w:val="17"/>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tabs>
                <w:tab w:val="left" w:pos="0"/>
                <w:tab w:val="left" w:pos="315"/>
              </w:tabs>
              <w:spacing w:line="520" w:lineRule="exact"/>
              <w:rPr>
                <w:sz w:val="24"/>
                <w:szCs w:val="24"/>
              </w:rPr>
            </w:pPr>
            <w:r>
              <w:rPr>
                <w:sz w:val="24"/>
                <w:szCs w:val="24"/>
              </w:rPr>
              <w:t xml:space="preserve">供方（公章）： </w:t>
            </w:r>
          </w:p>
        </w:tc>
        <w:tc>
          <w:tcPr>
            <w:tcW w:w="4261" w:type="dxa"/>
          </w:tcPr>
          <w:p>
            <w:pPr>
              <w:tabs>
                <w:tab w:val="left" w:pos="0"/>
                <w:tab w:val="left" w:pos="315"/>
              </w:tabs>
              <w:spacing w:line="520" w:lineRule="exact"/>
              <w:rPr>
                <w:sz w:val="24"/>
                <w:szCs w:val="24"/>
              </w:rPr>
            </w:pPr>
            <w:r>
              <w:rPr>
                <w:sz w:val="24"/>
                <w:szCs w:val="24"/>
              </w:rPr>
              <w:t xml:space="preserve">需方（公章）： </w:t>
            </w:r>
          </w:p>
        </w:tc>
      </w:tr>
      <w:tr>
        <w:tblPrEx>
          <w:tblCellMar>
            <w:top w:w="0" w:type="dxa"/>
            <w:left w:w="108" w:type="dxa"/>
            <w:bottom w:w="0" w:type="dxa"/>
            <w:right w:w="108" w:type="dxa"/>
          </w:tblCellMar>
        </w:tblPrEx>
        <w:tc>
          <w:tcPr>
            <w:tcW w:w="4261" w:type="dxa"/>
          </w:tcPr>
          <w:p>
            <w:pPr>
              <w:tabs>
                <w:tab w:val="left" w:pos="0"/>
                <w:tab w:val="left" w:pos="315"/>
              </w:tabs>
              <w:spacing w:line="520" w:lineRule="exact"/>
              <w:rPr>
                <w:sz w:val="24"/>
                <w:szCs w:val="24"/>
              </w:rPr>
            </w:pPr>
            <w:r>
              <w:rPr>
                <w:sz w:val="24"/>
                <w:szCs w:val="24"/>
              </w:rPr>
              <w:t xml:space="preserve">地址：  </w:t>
            </w:r>
          </w:p>
        </w:tc>
        <w:tc>
          <w:tcPr>
            <w:tcW w:w="4261" w:type="dxa"/>
          </w:tcPr>
          <w:p>
            <w:pPr>
              <w:tabs>
                <w:tab w:val="left" w:pos="0"/>
                <w:tab w:val="left" w:pos="315"/>
              </w:tabs>
              <w:spacing w:line="520" w:lineRule="exact"/>
              <w:rPr>
                <w:sz w:val="24"/>
                <w:szCs w:val="24"/>
              </w:rPr>
            </w:pPr>
            <w:r>
              <w:rPr>
                <w:sz w:val="24"/>
                <w:szCs w:val="24"/>
              </w:rPr>
              <w:t xml:space="preserve">地址： </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 xml:space="preserve">法定代表人： </w:t>
            </w:r>
          </w:p>
        </w:tc>
        <w:tc>
          <w:tcPr>
            <w:tcW w:w="4261" w:type="dxa"/>
          </w:tcPr>
          <w:p>
            <w:pPr>
              <w:tabs>
                <w:tab w:val="left" w:pos="360"/>
              </w:tabs>
              <w:spacing w:line="520" w:lineRule="exact"/>
              <w:rPr>
                <w:sz w:val="24"/>
                <w:szCs w:val="24"/>
              </w:rPr>
            </w:pPr>
            <w:r>
              <w:rPr>
                <w:sz w:val="24"/>
                <w:szCs w:val="24"/>
              </w:rPr>
              <w:t xml:space="preserve">法定代表人： </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 xml:space="preserve">委托代理人： </w:t>
            </w:r>
          </w:p>
        </w:tc>
        <w:tc>
          <w:tcPr>
            <w:tcW w:w="4261" w:type="dxa"/>
          </w:tcPr>
          <w:p>
            <w:pPr>
              <w:tabs>
                <w:tab w:val="left" w:pos="360"/>
              </w:tabs>
              <w:spacing w:line="520" w:lineRule="exact"/>
              <w:rPr>
                <w:sz w:val="24"/>
                <w:szCs w:val="24"/>
              </w:rPr>
            </w:pPr>
            <w:r>
              <w:rPr>
                <w:sz w:val="24"/>
                <w:szCs w:val="24"/>
              </w:rPr>
              <w:t xml:space="preserve">委托代理人： </w:t>
            </w:r>
          </w:p>
        </w:tc>
      </w:tr>
      <w:tr>
        <w:tblPrEx>
          <w:tblCellMar>
            <w:top w:w="0" w:type="dxa"/>
            <w:left w:w="108" w:type="dxa"/>
            <w:bottom w:w="0" w:type="dxa"/>
            <w:right w:w="108" w:type="dxa"/>
          </w:tblCellMar>
        </w:tblPrEx>
        <w:tc>
          <w:tcPr>
            <w:tcW w:w="4261" w:type="dxa"/>
          </w:tcPr>
          <w:p>
            <w:pPr>
              <w:tabs>
                <w:tab w:val="left" w:pos="360"/>
              </w:tabs>
              <w:spacing w:line="520" w:lineRule="exact"/>
              <w:rPr>
                <w:sz w:val="24"/>
                <w:szCs w:val="24"/>
              </w:rPr>
            </w:pPr>
            <w:r>
              <w:rPr>
                <w:sz w:val="24"/>
                <w:szCs w:val="24"/>
              </w:rPr>
              <w:t>电话：</w:t>
            </w:r>
          </w:p>
        </w:tc>
        <w:tc>
          <w:tcPr>
            <w:tcW w:w="4261" w:type="dxa"/>
          </w:tcPr>
          <w:p>
            <w:pPr>
              <w:tabs>
                <w:tab w:val="left" w:pos="360"/>
              </w:tabs>
              <w:spacing w:line="520" w:lineRule="exact"/>
              <w:rPr>
                <w:sz w:val="24"/>
                <w:szCs w:val="24"/>
              </w:rPr>
            </w:pPr>
            <w:r>
              <w:rPr>
                <w:sz w:val="24"/>
                <w:szCs w:val="24"/>
              </w:rPr>
              <w:t>电话：</w:t>
            </w:r>
          </w:p>
        </w:tc>
      </w:tr>
    </w:tbl>
    <w:p>
      <w:pPr>
        <w:rPr>
          <w:sz w:val="24"/>
          <w:szCs w:val="24"/>
        </w:rPr>
      </w:pPr>
    </w:p>
    <w:p>
      <w:pPr>
        <w:rPr>
          <w:szCs w:val="24"/>
        </w:rPr>
      </w:pPr>
      <w:r>
        <w:rPr>
          <w:sz w:val="24"/>
          <w:szCs w:val="24"/>
        </w:rPr>
        <w:t>时间：20</w:t>
      </w:r>
      <w:r>
        <w:rPr>
          <w:rFonts w:hint="eastAsia"/>
          <w:sz w:val="24"/>
          <w:szCs w:val="24"/>
        </w:rPr>
        <w:t xml:space="preserve">  </w:t>
      </w:r>
      <w:r>
        <w:rPr>
          <w:sz w:val="24"/>
          <w:szCs w:val="24"/>
        </w:rPr>
        <w:t>年  月  日</w:t>
      </w:r>
    </w:p>
    <w:p>
      <w:pPr>
        <w:jc w:val="center"/>
        <w:rPr>
          <w:b/>
          <w:sz w:val="30"/>
          <w:szCs w:val="30"/>
        </w:rPr>
      </w:pPr>
      <w:r>
        <w:rPr>
          <w:b/>
          <w:sz w:val="30"/>
          <w:szCs w:val="30"/>
        </w:rPr>
        <w:br w:type="page"/>
      </w:r>
      <w:r>
        <w:rPr>
          <w:b/>
          <w:sz w:val="30"/>
          <w:szCs w:val="30"/>
        </w:rPr>
        <w:t>合同特殊条款</w:t>
      </w:r>
    </w:p>
    <w:p>
      <w:pPr>
        <w:tabs>
          <w:tab w:val="left" w:pos="360"/>
        </w:tabs>
        <w:spacing w:line="520" w:lineRule="exact"/>
        <w:ind w:firstLine="383" w:firstLineChars="171"/>
        <w:rPr>
          <w:color w:val="000000"/>
          <w:sz w:val="24"/>
          <w:szCs w:val="24"/>
        </w:rPr>
      </w:pPr>
    </w:p>
    <w:p>
      <w:pPr>
        <w:tabs>
          <w:tab w:val="left" w:pos="360"/>
        </w:tabs>
        <w:spacing w:line="520" w:lineRule="exact"/>
        <w:ind w:firstLine="383" w:firstLineChars="171"/>
        <w:rPr>
          <w:color w:val="000000"/>
          <w:sz w:val="24"/>
          <w:szCs w:val="24"/>
        </w:rPr>
      </w:pPr>
      <w:r>
        <w:rPr>
          <w:color w:val="000000"/>
          <w:sz w:val="24"/>
          <w:szCs w:val="24"/>
        </w:rPr>
        <w:t xml:space="preserve"> 合同特殊条款是合同一般条款的补充和修改。如果两者之间有抵触，应以特殊条款为准。</w:t>
      </w:r>
    </w:p>
    <w:p>
      <w:pPr>
        <w:tabs>
          <w:tab w:val="left" w:pos="360"/>
        </w:tabs>
        <w:spacing w:line="520" w:lineRule="exact"/>
        <w:ind w:firstLine="383" w:firstLineChars="171"/>
        <w:rPr>
          <w:color w:val="000000"/>
          <w:sz w:val="24"/>
          <w:szCs w:val="24"/>
        </w:rPr>
      </w:pPr>
      <w:r>
        <w:rPr>
          <w:color w:val="000000"/>
          <w:sz w:val="24"/>
          <w:szCs w:val="24"/>
        </w:rPr>
        <w:t xml:space="preserve"> 合同特殊条款由</w:t>
      </w:r>
      <w:r>
        <w:rPr>
          <w:rFonts w:hint="eastAsia"/>
          <w:color w:val="000000"/>
          <w:sz w:val="24"/>
          <w:szCs w:val="24"/>
        </w:rPr>
        <w:t>供方</w:t>
      </w:r>
      <w:r>
        <w:rPr>
          <w:color w:val="000000"/>
          <w:sz w:val="24"/>
          <w:szCs w:val="24"/>
        </w:rPr>
        <w:t>和需方根据项目的具体情况协商拟订。</w:t>
      </w:r>
    </w:p>
    <w:p>
      <w:pPr>
        <w:autoSpaceDE w:val="0"/>
        <w:autoSpaceDN w:val="0"/>
        <w:adjustRightInd w:val="0"/>
        <w:spacing w:line="360" w:lineRule="auto"/>
        <w:ind w:firstLine="448" w:firstLineChars="200"/>
        <w:rPr>
          <w:sz w:val="24"/>
        </w:rPr>
      </w:pPr>
    </w:p>
    <w:p>
      <w:pPr>
        <w:widowControl/>
        <w:jc w:val="left"/>
        <w:rPr>
          <w:sz w:val="24"/>
        </w:rPr>
      </w:pPr>
      <w:r>
        <w:rPr>
          <w:sz w:val="24"/>
        </w:rPr>
        <w:br w:type="page"/>
      </w:r>
    </w:p>
    <w:p>
      <w:pPr>
        <w:pStyle w:val="13"/>
        <w:rPr>
          <w:rFonts w:ascii="Times New Roman" w:hAnsi="Times New Roman"/>
        </w:rPr>
      </w:pPr>
      <w:r>
        <w:rPr>
          <w:rFonts w:ascii="Times New Roman" w:hAnsi="Times New Roman"/>
        </w:rPr>
        <w:t>第五部分  投标文件格式</w:t>
      </w:r>
    </w:p>
    <w:p>
      <w:pPr>
        <w:autoSpaceDN w:val="0"/>
        <w:spacing w:line="360" w:lineRule="auto"/>
        <w:jc w:val="center"/>
        <w:rPr>
          <w:b/>
          <w:bCs/>
          <w:sz w:val="24"/>
        </w:rPr>
      </w:pPr>
      <w:r>
        <w:rPr>
          <w:b/>
          <w:bCs/>
          <w:sz w:val="24"/>
        </w:rPr>
        <w:t>投标文件封面格式</w:t>
      </w:r>
    </w:p>
    <w:p>
      <w:pPr>
        <w:autoSpaceDE w:val="0"/>
        <w:autoSpaceDN w:val="0"/>
        <w:adjustRightInd w:val="0"/>
        <w:spacing w:line="520" w:lineRule="exact"/>
      </w:pPr>
    </w:p>
    <w:p>
      <w:pPr>
        <w:autoSpaceDE w:val="0"/>
        <w:autoSpaceDN w:val="0"/>
        <w:adjustRightInd w:val="0"/>
        <w:spacing w:line="520" w:lineRule="exact"/>
        <w:rPr>
          <w:b/>
          <w:kern w:val="0"/>
          <w:sz w:val="24"/>
        </w:rPr>
      </w:pPr>
      <w:r>
        <w:drawing>
          <wp:anchor distT="0" distB="0" distL="114300" distR="114300" simplePos="0" relativeHeight="25166233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kern w:val="0"/>
          <w:sz w:val="144"/>
          <w:szCs w:val="144"/>
        </w:rPr>
      </w:pPr>
      <w:r>
        <w:rPr>
          <w:sz w:val="160"/>
          <w:szCs w:val="84"/>
        </w:rPr>
        <w:t>投</w:t>
      </w:r>
      <w:r>
        <w:rPr>
          <w:sz w:val="90"/>
          <w:szCs w:val="90"/>
        </w:rPr>
        <w:t xml:space="preserve"> </w:t>
      </w:r>
      <w:r>
        <w:rPr>
          <w:sz w:val="160"/>
          <w:szCs w:val="84"/>
        </w:rPr>
        <w:t>标</w:t>
      </w:r>
      <w:r>
        <w:rPr>
          <w:sz w:val="84"/>
          <w:szCs w:val="84"/>
        </w:rPr>
        <w:t xml:space="preserve"> </w:t>
      </w:r>
      <w:r>
        <w:rPr>
          <w:sz w:val="160"/>
          <w:szCs w:val="84"/>
        </w:rPr>
        <w:t>文</w:t>
      </w:r>
      <w:r>
        <w:rPr>
          <w:sz w:val="84"/>
          <w:szCs w:val="84"/>
        </w:rPr>
        <w:t xml:space="preserve"> </w:t>
      </w:r>
      <w:r>
        <w:rPr>
          <w:sz w:val="160"/>
          <w:szCs w:val="84"/>
        </w:rPr>
        <w:t>件</w:t>
      </w:r>
    </w:p>
    <w:p>
      <w:pPr>
        <w:autoSpaceDE w:val="0"/>
        <w:autoSpaceDN w:val="0"/>
        <w:adjustRightInd w:val="0"/>
        <w:spacing w:line="520" w:lineRule="exact"/>
        <w:rPr>
          <w:b/>
          <w:kern w:val="0"/>
          <w:sz w:val="36"/>
          <w:szCs w:val="36"/>
        </w:rPr>
      </w:pPr>
    </w:p>
    <w:p>
      <w:pPr>
        <w:autoSpaceDE w:val="0"/>
        <w:autoSpaceDN w:val="0"/>
        <w:adjustRightInd w:val="0"/>
        <w:spacing w:line="520" w:lineRule="exact"/>
        <w:jc w:val="center"/>
        <w:rPr>
          <w:b/>
          <w:color w:val="FF0000"/>
          <w:kern w:val="0"/>
          <w:sz w:val="24"/>
        </w:rPr>
      </w:pPr>
      <w:r>
        <w:rPr>
          <w:b/>
          <w:color w:val="FF0000"/>
          <w:kern w:val="0"/>
          <w:sz w:val="24"/>
        </w:rPr>
        <w:t>（加盖电子签章）</w:t>
      </w:r>
    </w:p>
    <w:p>
      <w:pPr>
        <w:spacing w:before="85" w:beforeLines="30" w:after="199" w:afterLines="70" w:line="540" w:lineRule="exact"/>
        <w:ind w:left="582" w:leftChars="300"/>
        <w:rPr>
          <w:b/>
          <w:sz w:val="34"/>
          <w:szCs w:val="34"/>
        </w:rPr>
      </w:pPr>
      <w:r>
        <w:rPr>
          <w:b/>
          <w:sz w:val="34"/>
          <w:szCs w:val="34"/>
        </w:rPr>
        <w:t>项目编号：</w:t>
      </w:r>
    </w:p>
    <w:p>
      <w:pPr>
        <w:spacing w:before="85" w:beforeLines="30" w:after="199" w:afterLines="70" w:line="540" w:lineRule="exact"/>
        <w:ind w:left="2027" w:leftChars="300" w:hanging="1445" w:hangingChars="446"/>
        <w:rPr>
          <w:b/>
          <w:sz w:val="34"/>
          <w:szCs w:val="34"/>
        </w:rPr>
      </w:pPr>
      <w:r>
        <w:rPr>
          <w:b/>
          <w:sz w:val="34"/>
          <w:szCs w:val="34"/>
        </w:rPr>
        <w:t>项目名称：</w:t>
      </w:r>
    </w:p>
    <w:p>
      <w:pPr>
        <w:spacing w:before="85" w:beforeLines="30" w:after="199" w:afterLines="70" w:line="540" w:lineRule="exact"/>
        <w:ind w:left="2027" w:leftChars="300" w:hanging="1445" w:hangingChars="446"/>
        <w:rPr>
          <w:b/>
          <w:sz w:val="34"/>
          <w:szCs w:val="34"/>
        </w:rPr>
      </w:pPr>
      <w:r>
        <w:rPr>
          <w:b/>
          <w:sz w:val="34"/>
          <w:szCs w:val="34"/>
        </w:rPr>
        <w:t>所投包号：</w:t>
      </w:r>
    </w:p>
    <w:p>
      <w:pPr>
        <w:spacing w:before="85" w:beforeLines="30" w:after="199" w:afterLines="70" w:line="540" w:lineRule="exact"/>
        <w:ind w:left="582" w:leftChars="300"/>
        <w:rPr>
          <w:b/>
          <w:sz w:val="34"/>
          <w:szCs w:val="34"/>
        </w:rPr>
      </w:pPr>
      <w:r>
        <w:rPr>
          <w:b/>
          <w:sz w:val="34"/>
          <w:szCs w:val="34"/>
        </w:rPr>
        <w:t>投标单位名称：</w:t>
      </w:r>
    </w:p>
    <w:p>
      <w:pPr>
        <w:spacing w:before="85" w:beforeLines="30" w:after="199" w:afterLines="70" w:line="540" w:lineRule="exact"/>
        <w:ind w:left="582" w:leftChars="300"/>
        <w:rPr>
          <w:b/>
          <w:sz w:val="34"/>
          <w:szCs w:val="34"/>
        </w:rPr>
      </w:pPr>
      <w:r>
        <w:rPr>
          <w:rFonts w:hint="eastAsia"/>
          <w:b/>
          <w:sz w:val="34"/>
          <w:szCs w:val="34"/>
        </w:rPr>
        <w:t>投标代表人姓名：</w:t>
      </w:r>
    </w:p>
    <w:p>
      <w:pPr>
        <w:spacing w:before="85" w:beforeLines="30" w:after="199" w:afterLines="70" w:line="540" w:lineRule="exact"/>
        <w:ind w:left="582" w:leftChars="300"/>
        <w:rPr>
          <w:b/>
          <w:sz w:val="34"/>
          <w:szCs w:val="34"/>
        </w:rPr>
      </w:pPr>
    </w:p>
    <w:p>
      <w:pPr>
        <w:spacing w:before="85" w:beforeLines="30" w:after="199" w:afterLines="70" w:line="540" w:lineRule="exact"/>
        <w:ind w:left="582" w:leftChars="300"/>
        <w:rPr>
          <w:b/>
          <w:sz w:val="34"/>
          <w:szCs w:val="34"/>
        </w:rPr>
      </w:pPr>
    </w:p>
    <w:p>
      <w:pPr>
        <w:spacing w:before="85" w:beforeLines="30" w:after="199" w:afterLines="70" w:line="540" w:lineRule="exact"/>
        <w:ind w:left="582" w:leftChars="300"/>
        <w:rPr>
          <w:b/>
          <w:sz w:val="34"/>
          <w:szCs w:val="34"/>
        </w:rPr>
      </w:pPr>
    </w:p>
    <w:p>
      <w:pPr>
        <w:spacing w:before="85" w:beforeLines="30" w:after="199" w:afterLines="70" w:line="540" w:lineRule="exact"/>
        <w:ind w:left="582" w:leftChars="300"/>
        <w:rPr>
          <w:b/>
          <w:bCs/>
          <w:sz w:val="24"/>
        </w:rPr>
      </w:pPr>
      <w:r>
        <w:rPr>
          <w:b/>
          <w:sz w:val="34"/>
          <w:szCs w:val="34"/>
        </w:rPr>
        <w:t>投标日期：   年   月   日</w:t>
      </w:r>
    </w:p>
    <w:p>
      <w:pPr>
        <w:widowControl/>
        <w:jc w:val="left"/>
        <w:rPr>
          <w:b/>
          <w:bCs/>
          <w:sz w:val="24"/>
        </w:rPr>
      </w:pPr>
      <w:r>
        <w:rPr>
          <w:b/>
          <w:bCs/>
          <w:sz w:val="24"/>
        </w:rPr>
        <w:br w:type="page"/>
      </w:r>
    </w:p>
    <w:p>
      <w:pPr>
        <w:autoSpaceDN w:val="0"/>
        <w:spacing w:line="360" w:lineRule="auto"/>
        <w:jc w:val="center"/>
        <w:rPr>
          <w:b/>
          <w:bCs/>
          <w:sz w:val="24"/>
        </w:rPr>
      </w:pPr>
      <w:r>
        <w:rPr>
          <w:b/>
          <w:bCs/>
          <w:sz w:val="24"/>
        </w:rPr>
        <w:t>投标文件总目录</w:t>
      </w:r>
    </w:p>
    <w:p>
      <w:pPr>
        <w:autoSpaceDN w:val="0"/>
        <w:spacing w:line="360" w:lineRule="auto"/>
        <w:jc w:val="center"/>
        <w:rPr>
          <w:b/>
          <w:bCs/>
          <w:sz w:val="24"/>
        </w:rPr>
      </w:pPr>
      <w:r>
        <w:rPr>
          <w:b/>
          <w:bCs/>
          <w:sz w:val="24"/>
        </w:rPr>
        <w:t>（</w:t>
      </w:r>
      <w:r>
        <w:rPr>
          <w:rFonts w:hint="eastAsia"/>
          <w:b/>
          <w:bCs/>
          <w:sz w:val="24"/>
        </w:rPr>
        <w:t>投标人</w:t>
      </w:r>
      <w:r>
        <w:rPr>
          <w:b/>
          <w:bCs/>
          <w:sz w:val="24"/>
        </w:rPr>
        <w:t>自行编制）</w:t>
      </w:r>
    </w:p>
    <w:p>
      <w:pPr>
        <w:widowControl/>
        <w:jc w:val="center"/>
        <w:rPr>
          <w:b/>
          <w:sz w:val="24"/>
        </w:rPr>
      </w:pPr>
    </w:p>
    <w:p>
      <w:pPr>
        <w:widowControl/>
        <w:jc w:val="left"/>
        <w:rPr>
          <w:b/>
          <w:sz w:val="24"/>
        </w:rPr>
      </w:pPr>
      <w:r>
        <w:rPr>
          <w:b/>
          <w:sz w:val="24"/>
        </w:rPr>
        <w:br w:type="page"/>
      </w:r>
    </w:p>
    <w:p>
      <w:pPr>
        <w:widowControl/>
        <w:jc w:val="center"/>
        <w:rPr>
          <w:b/>
          <w:sz w:val="24"/>
        </w:rPr>
      </w:pPr>
      <w:r>
        <w:rPr>
          <w:b/>
          <w:sz w:val="24"/>
        </w:rPr>
        <w:t>评分因素及评标标准页码检索</w:t>
      </w:r>
    </w:p>
    <w:p>
      <w:pPr>
        <w:widowControl/>
        <w:jc w:val="center"/>
        <w:rPr>
          <w:b/>
          <w:sz w:val="24"/>
        </w:rPr>
      </w:pPr>
      <w:r>
        <w:rPr>
          <w:b/>
          <w:bCs/>
          <w:sz w:val="24"/>
        </w:rPr>
        <w:t>（需投标人按招标文件“评分因素及评标标准”中每个评分项逐项列明页码）</w:t>
      </w:r>
    </w:p>
    <w:p>
      <w:pPr>
        <w:widowControl/>
        <w:jc w:val="left"/>
        <w:rPr>
          <w:sz w:val="24"/>
        </w:rPr>
      </w:pPr>
      <w:r>
        <w:rPr>
          <w:sz w:val="24"/>
        </w:rPr>
        <w:br w:type="page"/>
      </w:r>
    </w:p>
    <w:p>
      <w:pPr>
        <w:tabs>
          <w:tab w:val="left" w:pos="360"/>
        </w:tabs>
        <w:spacing w:after="285" w:afterLines="100" w:line="360" w:lineRule="auto"/>
        <w:rPr>
          <w:b/>
          <w:sz w:val="24"/>
        </w:rPr>
      </w:pPr>
      <w:r>
        <w:rPr>
          <w:b/>
          <w:sz w:val="24"/>
        </w:rPr>
        <w:t>附件1</w:t>
      </w:r>
    </w:p>
    <w:p>
      <w:pPr>
        <w:autoSpaceDN w:val="0"/>
        <w:spacing w:line="360" w:lineRule="auto"/>
        <w:jc w:val="center"/>
        <w:rPr>
          <w:b/>
          <w:bCs/>
          <w:sz w:val="24"/>
        </w:rPr>
      </w:pPr>
      <w:r>
        <w:rPr>
          <w:b/>
          <w:bCs/>
          <w:sz w:val="24"/>
        </w:rPr>
        <w:t>投标书</w:t>
      </w:r>
    </w:p>
    <w:p>
      <w:pPr>
        <w:spacing w:line="360" w:lineRule="auto"/>
        <w:rPr>
          <w:sz w:val="24"/>
        </w:rPr>
      </w:pPr>
      <w:r>
        <w:rPr>
          <w:sz w:val="24"/>
        </w:rPr>
        <w:t>致：天津市政府采购中心</w:t>
      </w:r>
    </w:p>
    <w:p>
      <w:pPr>
        <w:spacing w:line="360" w:lineRule="auto"/>
        <w:ind w:firstLine="448" w:firstLineChars="200"/>
        <w:rPr>
          <w:sz w:val="24"/>
        </w:rPr>
      </w:pPr>
      <w:r>
        <w:rPr>
          <w:sz w:val="24"/>
        </w:rPr>
        <w:t>根据贵方为天津市</w:t>
      </w:r>
      <w:r>
        <w:rPr>
          <w:sz w:val="24"/>
          <w:u w:val="single"/>
        </w:rPr>
        <w:t xml:space="preserve">                  </w:t>
      </w:r>
      <w:r>
        <w:rPr>
          <w:sz w:val="24"/>
        </w:rPr>
        <w:t>项目（项目编号：</w:t>
      </w:r>
      <w:r>
        <w:rPr>
          <w:sz w:val="24"/>
          <w:u w:val="single"/>
        </w:rPr>
        <w:t xml:space="preserve">             </w:t>
      </w:r>
      <w:r>
        <w:rPr>
          <w:sz w:val="24"/>
        </w:rPr>
        <w:t>）的投标邀请，签字代表</w:t>
      </w:r>
      <w:r>
        <w:rPr>
          <w:sz w:val="24"/>
          <w:u w:val="single"/>
        </w:rPr>
        <w:t xml:space="preserve">                           </w:t>
      </w:r>
      <w:r>
        <w:rPr>
          <w:sz w:val="24"/>
        </w:rPr>
        <w:t>（姓名</w:t>
      </w:r>
      <w:r>
        <w:rPr>
          <w:sz w:val="24"/>
          <w:lang w:val="en-GB"/>
        </w:rPr>
        <w:t>/</w:t>
      </w:r>
      <w:r>
        <w:rPr>
          <w:sz w:val="24"/>
        </w:rPr>
        <w:t>职务）经正式授权并代表我公司</w:t>
      </w:r>
      <w:r>
        <w:rPr>
          <w:sz w:val="24"/>
          <w:u w:val="single"/>
        </w:rPr>
        <w:t xml:space="preserve">                           </w:t>
      </w:r>
      <w:r>
        <w:rPr>
          <w:sz w:val="24"/>
        </w:rPr>
        <w:t>（投标单位名称、地址）提交</w:t>
      </w:r>
      <w:r>
        <w:rPr>
          <w:rFonts w:hint="eastAsia"/>
          <w:sz w:val="24"/>
        </w:rPr>
        <w:t>网上应答及上传加盖电子签章的投标文件</w:t>
      </w:r>
      <w:r>
        <w:rPr>
          <w:sz w:val="24"/>
        </w:rPr>
        <w:t>。</w:t>
      </w:r>
    </w:p>
    <w:p>
      <w:pPr>
        <w:spacing w:line="360" w:lineRule="auto"/>
        <w:ind w:firstLine="448" w:firstLineChars="200"/>
        <w:rPr>
          <w:sz w:val="24"/>
        </w:rPr>
      </w:pPr>
      <w:r>
        <w:rPr>
          <w:sz w:val="24"/>
        </w:rPr>
        <w:t>据此函，签字代表宣布同意如下：</w:t>
      </w:r>
    </w:p>
    <w:p>
      <w:pPr>
        <w:spacing w:line="360" w:lineRule="auto"/>
        <w:ind w:firstLine="448" w:firstLineChars="200"/>
        <w:rPr>
          <w:sz w:val="24"/>
        </w:rPr>
      </w:pPr>
      <w:r>
        <w:rPr>
          <w:sz w:val="24"/>
        </w:rPr>
        <w:t>1. 所附投标报价表中规定的应提供和交付的服务投标总价为：</w:t>
      </w:r>
    </w:p>
    <w:p>
      <w:pPr>
        <w:spacing w:line="360" w:lineRule="auto"/>
        <w:ind w:firstLine="448" w:firstLineChars="200"/>
        <w:rPr>
          <w:sz w:val="24"/>
        </w:rPr>
      </w:pPr>
      <w:r>
        <w:rPr>
          <w:sz w:val="24"/>
        </w:rPr>
        <w:t>第一包，￥</w:t>
      </w:r>
      <w:r>
        <w:rPr>
          <w:sz w:val="24"/>
          <w:u w:val="single"/>
        </w:rPr>
        <w:t xml:space="preserve">      </w:t>
      </w:r>
      <w:r>
        <w:rPr>
          <w:sz w:val="24"/>
        </w:rPr>
        <w:t>元（人民币），大写</w:t>
      </w:r>
      <w:r>
        <w:rPr>
          <w:sz w:val="24"/>
          <w:u w:val="single"/>
        </w:rPr>
        <w:t xml:space="preserve">                   </w:t>
      </w:r>
      <w:r>
        <w:rPr>
          <w:sz w:val="24"/>
        </w:rPr>
        <w:t>。</w:t>
      </w:r>
    </w:p>
    <w:p>
      <w:pPr>
        <w:spacing w:line="360" w:lineRule="auto"/>
        <w:ind w:firstLine="448" w:firstLineChars="200"/>
        <w:rPr>
          <w:sz w:val="24"/>
        </w:rPr>
      </w:pPr>
      <w:r>
        <w:rPr>
          <w:sz w:val="24"/>
        </w:rPr>
        <w:t>第二包，￥</w:t>
      </w:r>
      <w:r>
        <w:rPr>
          <w:sz w:val="24"/>
          <w:u w:val="single"/>
        </w:rPr>
        <w:t xml:space="preserve">      </w:t>
      </w:r>
      <w:r>
        <w:rPr>
          <w:sz w:val="24"/>
        </w:rPr>
        <w:t>元（人民币），大写</w:t>
      </w:r>
      <w:r>
        <w:rPr>
          <w:sz w:val="24"/>
          <w:u w:val="single"/>
        </w:rPr>
        <w:t xml:space="preserve">                   </w:t>
      </w:r>
      <w:r>
        <w:rPr>
          <w:sz w:val="24"/>
        </w:rPr>
        <w:t>。</w:t>
      </w:r>
    </w:p>
    <w:p>
      <w:pPr>
        <w:spacing w:line="360" w:lineRule="auto"/>
        <w:ind w:firstLine="448" w:firstLineChars="200"/>
        <w:rPr>
          <w:sz w:val="24"/>
        </w:rPr>
      </w:pPr>
      <w:r>
        <w:rPr>
          <w:sz w:val="24"/>
        </w:rPr>
        <w:t>……</w:t>
      </w:r>
    </w:p>
    <w:p>
      <w:pPr>
        <w:spacing w:line="360" w:lineRule="auto"/>
        <w:ind w:firstLine="448" w:firstLineChars="200"/>
        <w:rPr>
          <w:sz w:val="24"/>
        </w:rPr>
      </w:pPr>
      <w:r>
        <w:rPr>
          <w:sz w:val="24"/>
        </w:rPr>
        <w:t>2. 我公司将按招标文件的规定履行合同责任和义务。</w:t>
      </w:r>
    </w:p>
    <w:p>
      <w:pPr>
        <w:spacing w:line="360" w:lineRule="auto"/>
        <w:ind w:firstLine="448" w:firstLineChars="200"/>
        <w:rPr>
          <w:sz w:val="24"/>
        </w:rPr>
      </w:pPr>
      <w:r>
        <w:rPr>
          <w:sz w:val="24"/>
        </w:rPr>
        <w:t>3. 我公司已详细审查全部招标文件，包括更正公告以及全部参考资料和所有附件。我们认为全部招标文件（包括更正公告以及全部参考资料和所有附件）公平公正，无倾向性和排他性，我们完全理解并同意放弃对这方面有不明及误解的权利。</w:t>
      </w:r>
    </w:p>
    <w:p>
      <w:pPr>
        <w:spacing w:line="360" w:lineRule="auto"/>
        <w:ind w:firstLine="448" w:firstLineChars="200"/>
        <w:rPr>
          <w:sz w:val="24"/>
        </w:rPr>
      </w:pPr>
      <w:r>
        <w:rPr>
          <w:sz w:val="24"/>
        </w:rPr>
        <w:t>4. 我公司的投标有效期为开标之日起60天。</w:t>
      </w:r>
    </w:p>
    <w:p>
      <w:pPr>
        <w:spacing w:line="360" w:lineRule="auto"/>
        <w:ind w:firstLine="448" w:firstLineChars="200"/>
        <w:rPr>
          <w:sz w:val="24"/>
        </w:rPr>
      </w:pPr>
      <w:r>
        <w:rPr>
          <w:sz w:val="24"/>
        </w:rPr>
        <w:t>5. 我公司同意按照招标方要求提供的与投标有关的一切数据或资料，并声明投标文件及所提供的一切资料均真实有效。由于我公司提供资料不实而造成的责任和后果由我公司自行承担。</w:t>
      </w:r>
    </w:p>
    <w:p>
      <w:pPr>
        <w:spacing w:line="360" w:lineRule="auto"/>
        <w:ind w:firstLine="448" w:firstLineChars="200"/>
        <w:rPr>
          <w:sz w:val="24"/>
        </w:rPr>
      </w:pPr>
      <w:r>
        <w:rPr>
          <w:sz w:val="24"/>
        </w:rPr>
        <w:t>6. 我公司保证所投产品来自合法的供货渠道，若中标，则有义务向采购人提供其需要的有效书面证明材料。如果提供非法渠道的商品，视为欺诈，并承担相关责任。</w:t>
      </w:r>
    </w:p>
    <w:p>
      <w:pPr>
        <w:spacing w:line="360" w:lineRule="auto"/>
        <w:ind w:firstLine="448" w:firstLineChars="200"/>
        <w:rPr>
          <w:sz w:val="24"/>
        </w:rPr>
      </w:pPr>
      <w:r>
        <w:rPr>
          <w:sz w:val="24"/>
        </w:rPr>
        <w:t>7. 我公司已熟知贵中心关于本项目电子招投标的要求和规定，我公司完全响应本次招投标通过网上应答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48" w:firstLineChars="200"/>
        <w:rPr>
          <w:sz w:val="24"/>
        </w:rPr>
      </w:pPr>
      <w:r>
        <w:rPr>
          <w:sz w:val="24"/>
        </w:rPr>
        <w:t>8. 我公司承诺完全符合《政府采购法》、《政府采购法实施条例》等法律法规规定，并随时接受采购人、采购代理机构的检查验证。在整个招标过程中，我公司若有违规行为，我公司完全接受贵中心依照相关法律法规和招标文件的规定给予处罚。</w:t>
      </w:r>
    </w:p>
    <w:p>
      <w:pPr>
        <w:spacing w:line="360" w:lineRule="auto"/>
        <w:ind w:firstLine="448" w:firstLineChars="200"/>
        <w:rPr>
          <w:sz w:val="24"/>
        </w:rPr>
      </w:pPr>
      <w:r>
        <w:rPr>
          <w:rFonts w:hint="eastAsia"/>
          <w:sz w:val="24"/>
        </w:rPr>
        <w:t>9.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pPr>
        <w:spacing w:line="360" w:lineRule="auto"/>
        <w:ind w:firstLine="448" w:firstLineChars="200"/>
        <w:rPr>
          <w:sz w:val="24"/>
        </w:rPr>
      </w:pPr>
      <w:r>
        <w:rPr>
          <w:rFonts w:hint="eastAsia"/>
          <w:sz w:val="24"/>
        </w:rPr>
        <w:t>10</w:t>
      </w:r>
      <w:r>
        <w:rPr>
          <w:sz w:val="24"/>
        </w:rPr>
        <w:t>. 我公司若中标，本承诺将成为合同不可分割的一部分，与合同具有同等的法律效力。</w:t>
      </w:r>
    </w:p>
    <w:p>
      <w:pPr>
        <w:spacing w:line="360" w:lineRule="auto"/>
        <w:ind w:firstLine="448" w:firstLineChars="200"/>
        <w:rPr>
          <w:sz w:val="24"/>
        </w:rPr>
      </w:pPr>
      <w:r>
        <w:rPr>
          <w:sz w:val="24"/>
        </w:rPr>
        <w:t>1</w:t>
      </w:r>
      <w:r>
        <w:rPr>
          <w:rFonts w:hint="eastAsia"/>
          <w:sz w:val="24"/>
        </w:rPr>
        <w:t>1</w:t>
      </w:r>
      <w:r>
        <w:rPr>
          <w:sz w:val="24"/>
        </w:rPr>
        <w:t>. 如违反上述承诺，我公司投标无效且接受相关部门依法作出的处罚，并承担通过“天津市政府采购网”等相关媒体予以公布的任何风险和责任。</w:t>
      </w:r>
    </w:p>
    <w:p>
      <w:pPr>
        <w:spacing w:line="360" w:lineRule="auto"/>
        <w:ind w:firstLine="448" w:firstLineChars="200"/>
        <w:rPr>
          <w:sz w:val="24"/>
        </w:rPr>
      </w:pPr>
      <w:r>
        <w:rPr>
          <w:sz w:val="24"/>
        </w:rPr>
        <w:t xml:space="preserve">12. </w:t>
      </w:r>
      <w:r>
        <w:rPr>
          <w:rFonts w:hint="eastAsia"/>
          <w:sz w:val="24"/>
        </w:rPr>
        <w:t>我公司开票信息如下，</w:t>
      </w:r>
      <w:r>
        <w:rPr>
          <w:rFonts w:hint="eastAsia"/>
          <w:b/>
          <w:sz w:val="24"/>
        </w:rPr>
        <w:t>此信息与我公司在税务局注册的信息一致</w:t>
      </w:r>
      <w:r>
        <w:rPr>
          <w:rFonts w:hint="eastAsia"/>
          <w:sz w:val="24"/>
        </w:rPr>
        <w:t>：</w:t>
      </w:r>
    </w:p>
    <w:p>
      <w:pPr>
        <w:spacing w:line="360" w:lineRule="auto"/>
        <w:ind w:firstLine="448" w:firstLineChars="200"/>
        <w:rPr>
          <w:sz w:val="24"/>
        </w:rPr>
      </w:pPr>
      <w:r>
        <w:rPr>
          <w:rFonts w:hint="eastAsia"/>
          <w:sz w:val="24"/>
        </w:rPr>
        <w:t>纳税人识别号：</w:t>
      </w:r>
    </w:p>
    <w:p>
      <w:pPr>
        <w:spacing w:line="360" w:lineRule="auto"/>
        <w:ind w:firstLine="448" w:firstLineChars="200"/>
        <w:rPr>
          <w:sz w:val="24"/>
        </w:rPr>
      </w:pPr>
      <w:r>
        <w:rPr>
          <w:rFonts w:hint="eastAsia"/>
          <w:sz w:val="24"/>
        </w:rPr>
        <w:t>地址、电话：</w:t>
      </w:r>
    </w:p>
    <w:p>
      <w:pPr>
        <w:spacing w:line="360" w:lineRule="auto"/>
        <w:ind w:firstLine="448" w:firstLineChars="200"/>
        <w:rPr>
          <w:sz w:val="24"/>
        </w:rPr>
      </w:pPr>
      <w:r>
        <w:rPr>
          <w:rFonts w:hint="eastAsia"/>
          <w:sz w:val="24"/>
        </w:rPr>
        <w:t>开户行及账号：</w:t>
      </w:r>
    </w:p>
    <w:p>
      <w:pPr>
        <w:spacing w:line="360" w:lineRule="auto"/>
        <w:ind w:firstLine="448" w:firstLineChars="200"/>
        <w:rPr>
          <w:sz w:val="24"/>
        </w:rPr>
      </w:pPr>
      <w:r>
        <w:rPr>
          <w:rFonts w:hint="eastAsia"/>
          <w:sz w:val="24"/>
        </w:rPr>
        <w:t>开具发票类型：□增值税专用发票         □增值税普通发票</w:t>
      </w:r>
    </w:p>
    <w:p>
      <w:pPr>
        <w:spacing w:line="360" w:lineRule="auto"/>
        <w:ind w:firstLine="448" w:firstLineChars="200"/>
        <w:rPr>
          <w:sz w:val="24"/>
        </w:rPr>
      </w:pPr>
      <w:r>
        <w:rPr>
          <w:rFonts w:hint="eastAsia"/>
          <w:sz w:val="24"/>
        </w:rPr>
        <w:t>13. 我公司选择招标代理服务费</w:t>
      </w:r>
      <w:r>
        <w:rPr>
          <w:sz w:val="24"/>
        </w:rPr>
        <w:t>发票领取方式（请自行选择以下任一方式并在相应</w:t>
      </w:r>
      <w:r>
        <w:rPr>
          <w:rFonts w:hint="eastAsia"/>
          <w:sz w:val="24"/>
        </w:rPr>
        <w:t>□里划“√”</w:t>
      </w:r>
      <w:r>
        <w:rPr>
          <w:sz w:val="24"/>
        </w:rPr>
        <w:t>）：</w:t>
      </w:r>
    </w:p>
    <w:p>
      <w:pPr>
        <w:spacing w:line="360" w:lineRule="auto"/>
        <w:ind w:firstLine="448" w:firstLineChars="200"/>
        <w:rPr>
          <w:b/>
          <w:sz w:val="24"/>
        </w:rPr>
      </w:pPr>
      <w:r>
        <w:rPr>
          <w:rFonts w:hint="eastAsia"/>
          <w:b/>
          <w:sz w:val="24"/>
        </w:rPr>
        <w:t>□</w:t>
      </w:r>
      <w:r>
        <w:rPr>
          <w:b/>
          <w:sz w:val="24"/>
        </w:rPr>
        <w:t>上门自取</w:t>
      </w:r>
    </w:p>
    <w:p>
      <w:pPr>
        <w:spacing w:line="360" w:lineRule="auto"/>
        <w:ind w:firstLine="448" w:firstLineChars="200"/>
        <w:rPr>
          <w:sz w:val="24"/>
        </w:rPr>
      </w:pPr>
    </w:p>
    <w:p>
      <w:pPr>
        <w:spacing w:line="360" w:lineRule="auto"/>
        <w:ind w:firstLine="448" w:firstLineChars="200"/>
        <w:rPr>
          <w:b/>
          <w:sz w:val="24"/>
        </w:rPr>
      </w:pPr>
      <w:r>
        <w:rPr>
          <w:rFonts w:hint="eastAsia"/>
          <w:b/>
          <w:sz w:val="24"/>
        </w:rPr>
        <w:t>□</w:t>
      </w:r>
      <w:r>
        <w:rPr>
          <w:b/>
          <w:sz w:val="24"/>
        </w:rPr>
        <w:t>到付邮寄</w:t>
      </w:r>
    </w:p>
    <w:p>
      <w:pPr>
        <w:spacing w:line="360" w:lineRule="auto"/>
        <w:ind w:firstLine="448" w:firstLineChars="200"/>
        <w:rPr>
          <w:sz w:val="24"/>
        </w:rPr>
      </w:pPr>
      <w:r>
        <w:rPr>
          <w:sz w:val="24"/>
        </w:rPr>
        <w:t>邮寄地址</w:t>
      </w:r>
      <w:r>
        <w:rPr>
          <w:rFonts w:hint="eastAsia"/>
          <w:sz w:val="24"/>
        </w:rPr>
        <w:t>、邮编</w:t>
      </w:r>
      <w:r>
        <w:rPr>
          <w:sz w:val="24"/>
        </w:rPr>
        <w:t>：</w:t>
      </w:r>
    </w:p>
    <w:p>
      <w:pPr>
        <w:spacing w:line="360" w:lineRule="auto"/>
        <w:ind w:firstLine="448" w:firstLineChars="200"/>
        <w:rPr>
          <w:sz w:val="24"/>
        </w:rPr>
      </w:pPr>
      <w:r>
        <w:rPr>
          <w:sz w:val="24"/>
        </w:rPr>
        <w:t>邮寄联系人、手机号码：</w:t>
      </w:r>
    </w:p>
    <w:p>
      <w:pPr>
        <w:spacing w:line="360" w:lineRule="auto"/>
        <w:ind w:firstLine="3808" w:firstLineChars="1700"/>
        <w:rPr>
          <w:sz w:val="24"/>
        </w:rPr>
      </w:pPr>
    </w:p>
    <w:p>
      <w:pPr>
        <w:spacing w:line="360" w:lineRule="auto"/>
        <w:ind w:firstLine="3808" w:firstLineChars="1700"/>
        <w:rPr>
          <w:sz w:val="24"/>
        </w:rPr>
      </w:pPr>
      <w:r>
        <w:rPr>
          <w:sz w:val="24"/>
        </w:rPr>
        <w:t>投标人名称：</w:t>
      </w:r>
    </w:p>
    <w:p>
      <w:pPr>
        <w:spacing w:line="360" w:lineRule="auto"/>
        <w:ind w:firstLine="3808" w:firstLineChars="1700"/>
        <w:rPr>
          <w:sz w:val="24"/>
        </w:rPr>
      </w:pP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rPr>
          <w:sz w:val="24"/>
        </w:rPr>
      </w:pPr>
    </w:p>
    <w:p>
      <w:pPr>
        <w:widowControl/>
        <w:jc w:val="left"/>
        <w:rPr>
          <w:sz w:val="24"/>
        </w:rPr>
      </w:pPr>
      <w:r>
        <w:rPr>
          <w:sz w:val="24"/>
        </w:rPr>
        <w:br w:type="page"/>
      </w:r>
    </w:p>
    <w:p>
      <w:pPr>
        <w:widowControl/>
        <w:jc w:val="left"/>
        <w:rPr>
          <w:b/>
          <w:sz w:val="24"/>
        </w:rPr>
      </w:pPr>
      <w:r>
        <w:rPr>
          <w:b/>
          <w:sz w:val="24"/>
        </w:rPr>
        <w:t>附件2</w:t>
      </w:r>
    </w:p>
    <w:p>
      <w:pPr>
        <w:autoSpaceDN w:val="0"/>
        <w:spacing w:line="360" w:lineRule="auto"/>
        <w:jc w:val="center"/>
        <w:rPr>
          <w:b/>
          <w:bCs/>
          <w:sz w:val="24"/>
        </w:rPr>
      </w:pPr>
      <w:r>
        <w:rPr>
          <w:b/>
          <w:bCs/>
          <w:sz w:val="24"/>
        </w:rPr>
        <w:t>开标一览表</w:t>
      </w:r>
    </w:p>
    <w:p>
      <w:pPr>
        <w:ind w:right="84"/>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rPr>
      </w:pPr>
      <w:r>
        <w:rPr>
          <w:sz w:val="24"/>
        </w:rPr>
        <w:t xml:space="preserve">                                                       单位：元</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180"/>
        <w:gridCol w:w="1375"/>
        <w:gridCol w:w="205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Align w:val="center"/>
          </w:tcPr>
          <w:p>
            <w:pPr>
              <w:spacing w:line="460" w:lineRule="exact"/>
              <w:jc w:val="center"/>
              <w:rPr>
                <w:sz w:val="24"/>
              </w:rPr>
            </w:pPr>
            <w:r>
              <w:rPr>
                <w:sz w:val="24"/>
              </w:rPr>
              <w:t>包号</w:t>
            </w:r>
          </w:p>
        </w:tc>
        <w:tc>
          <w:tcPr>
            <w:tcW w:w="1278" w:type="pct"/>
            <w:vAlign w:val="center"/>
          </w:tcPr>
          <w:p>
            <w:pPr>
              <w:spacing w:line="460" w:lineRule="exact"/>
              <w:jc w:val="center"/>
              <w:rPr>
                <w:sz w:val="24"/>
              </w:rPr>
            </w:pPr>
            <w:r>
              <w:rPr>
                <w:sz w:val="24"/>
              </w:rPr>
              <w:t>服务名称</w:t>
            </w:r>
          </w:p>
        </w:tc>
        <w:tc>
          <w:tcPr>
            <w:tcW w:w="806" w:type="pct"/>
            <w:vAlign w:val="center"/>
          </w:tcPr>
          <w:p>
            <w:pPr>
              <w:spacing w:line="460" w:lineRule="exact"/>
              <w:jc w:val="center"/>
              <w:rPr>
                <w:sz w:val="24"/>
              </w:rPr>
            </w:pPr>
            <w:r>
              <w:rPr>
                <w:sz w:val="24"/>
              </w:rPr>
              <w:t>数量</w:t>
            </w:r>
          </w:p>
        </w:tc>
        <w:tc>
          <w:tcPr>
            <w:tcW w:w="1202" w:type="pct"/>
            <w:vAlign w:val="center"/>
          </w:tcPr>
          <w:p>
            <w:pPr>
              <w:spacing w:line="460" w:lineRule="exact"/>
              <w:jc w:val="center"/>
              <w:rPr>
                <w:sz w:val="24"/>
              </w:rPr>
            </w:pPr>
            <w:r>
              <w:rPr>
                <w:sz w:val="24"/>
              </w:rPr>
              <w:t>投标总价</w:t>
            </w:r>
          </w:p>
        </w:tc>
        <w:tc>
          <w:tcPr>
            <w:tcW w:w="984" w:type="pct"/>
            <w:vAlign w:val="center"/>
          </w:tcPr>
          <w:p>
            <w:pPr>
              <w:spacing w:line="46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bl>
    <w:p>
      <w:pPr>
        <w:spacing w:line="360" w:lineRule="auto"/>
        <w:ind w:right="84" w:firstLine="420"/>
        <w:rPr>
          <w:sz w:val="24"/>
        </w:rPr>
      </w:pPr>
    </w:p>
    <w:p>
      <w:pPr>
        <w:spacing w:line="360" w:lineRule="auto"/>
        <w:ind w:right="84" w:firstLine="420"/>
        <w:rPr>
          <w:sz w:val="24"/>
        </w:rPr>
      </w:pPr>
    </w:p>
    <w:p>
      <w:pPr>
        <w:spacing w:line="360" w:lineRule="auto"/>
        <w:ind w:firstLine="3808" w:firstLineChars="1700"/>
        <w:rPr>
          <w:sz w:val="24"/>
        </w:rPr>
      </w:pPr>
      <w:r>
        <w:rPr>
          <w:sz w:val="24"/>
        </w:rPr>
        <w:t>投标人名称：</w:t>
      </w:r>
    </w:p>
    <w:p>
      <w:pPr>
        <w:spacing w:line="360" w:lineRule="auto"/>
        <w:ind w:firstLine="3808" w:firstLineChars="1700"/>
        <w:rPr>
          <w:sz w:val="24"/>
        </w:rPr>
      </w:pP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360" w:lineRule="auto"/>
        <w:ind w:right="84" w:firstLine="420"/>
        <w:rPr>
          <w:sz w:val="24"/>
        </w:rPr>
      </w:pPr>
    </w:p>
    <w:p>
      <w:pPr>
        <w:widowControl/>
        <w:jc w:val="left"/>
        <w:rPr>
          <w:sz w:val="24"/>
        </w:rPr>
      </w:pPr>
      <w:r>
        <w:rPr>
          <w:sz w:val="24"/>
        </w:rPr>
        <w:br w:type="page"/>
      </w:r>
    </w:p>
    <w:p>
      <w:pPr>
        <w:tabs>
          <w:tab w:val="left" w:pos="360"/>
        </w:tabs>
        <w:spacing w:after="285" w:afterLines="100" w:line="360" w:lineRule="auto"/>
        <w:rPr>
          <w:b/>
          <w:sz w:val="24"/>
        </w:rPr>
      </w:pPr>
      <w:r>
        <w:rPr>
          <w:b/>
          <w:sz w:val="24"/>
        </w:rPr>
        <w:t>附件3</w:t>
      </w:r>
    </w:p>
    <w:p>
      <w:pPr>
        <w:autoSpaceDN w:val="0"/>
        <w:spacing w:line="360" w:lineRule="auto"/>
        <w:jc w:val="center"/>
        <w:rPr>
          <w:b/>
          <w:bCs/>
          <w:sz w:val="24"/>
        </w:rPr>
      </w:pPr>
      <w:r>
        <w:rPr>
          <w:b/>
          <w:bCs/>
          <w:sz w:val="24"/>
        </w:rPr>
        <w:t>开标分项一览表</w:t>
      </w:r>
    </w:p>
    <w:p>
      <w:pPr>
        <w:ind w:right="84"/>
        <w:rPr>
          <w:sz w:val="24"/>
        </w:rPr>
      </w:pP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1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49"/>
        <w:gridCol w:w="1701"/>
        <w:gridCol w:w="223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78" w:type="dxa"/>
            <w:vAlign w:val="center"/>
          </w:tcPr>
          <w:p>
            <w:pPr>
              <w:widowControl/>
              <w:jc w:val="center"/>
              <w:rPr>
                <w:b/>
                <w:bCs/>
                <w:kern w:val="0"/>
                <w:sz w:val="24"/>
                <w:szCs w:val="24"/>
              </w:rPr>
            </w:pPr>
            <w:r>
              <w:rPr>
                <w:b/>
                <w:bCs/>
                <w:kern w:val="0"/>
                <w:sz w:val="24"/>
                <w:szCs w:val="24"/>
              </w:rPr>
              <w:t>项号</w:t>
            </w:r>
          </w:p>
        </w:tc>
        <w:tc>
          <w:tcPr>
            <w:tcW w:w="2349" w:type="dxa"/>
            <w:vAlign w:val="center"/>
          </w:tcPr>
          <w:p>
            <w:pPr>
              <w:widowControl/>
              <w:jc w:val="center"/>
              <w:rPr>
                <w:b/>
                <w:bCs/>
                <w:kern w:val="0"/>
                <w:sz w:val="24"/>
                <w:szCs w:val="24"/>
              </w:rPr>
            </w:pPr>
            <w:r>
              <w:rPr>
                <w:b/>
                <w:bCs/>
                <w:kern w:val="0"/>
                <w:sz w:val="24"/>
                <w:szCs w:val="24"/>
              </w:rPr>
              <w:t>服务名称</w:t>
            </w:r>
          </w:p>
        </w:tc>
        <w:tc>
          <w:tcPr>
            <w:tcW w:w="1701" w:type="dxa"/>
            <w:vAlign w:val="center"/>
          </w:tcPr>
          <w:p>
            <w:pPr>
              <w:widowControl/>
              <w:jc w:val="center"/>
              <w:rPr>
                <w:b/>
                <w:bCs/>
                <w:kern w:val="0"/>
                <w:sz w:val="24"/>
                <w:szCs w:val="24"/>
              </w:rPr>
            </w:pPr>
            <w:r>
              <w:rPr>
                <w:b/>
                <w:bCs/>
                <w:kern w:val="0"/>
                <w:sz w:val="24"/>
                <w:szCs w:val="24"/>
              </w:rPr>
              <w:t>总价</w:t>
            </w:r>
          </w:p>
        </w:tc>
        <w:tc>
          <w:tcPr>
            <w:tcW w:w="2238" w:type="dxa"/>
            <w:vAlign w:val="center"/>
          </w:tcPr>
          <w:p>
            <w:pPr>
              <w:widowControl/>
              <w:jc w:val="center"/>
              <w:rPr>
                <w:b/>
                <w:bCs/>
                <w:kern w:val="0"/>
                <w:sz w:val="24"/>
                <w:szCs w:val="24"/>
              </w:rPr>
            </w:pPr>
            <w:r>
              <w:rPr>
                <w:b/>
                <w:bCs/>
                <w:kern w:val="0"/>
                <w:sz w:val="24"/>
                <w:szCs w:val="24"/>
              </w:rPr>
              <w:t>数量</w:t>
            </w:r>
          </w:p>
        </w:tc>
        <w:tc>
          <w:tcPr>
            <w:tcW w:w="1848" w:type="dxa"/>
            <w:vAlign w:val="center"/>
          </w:tcPr>
          <w:p>
            <w:pPr>
              <w:widowControl/>
              <w:jc w:val="center"/>
              <w:rPr>
                <w:b/>
                <w:bCs/>
                <w:kern w:val="0"/>
                <w:sz w:val="24"/>
                <w:szCs w:val="24"/>
              </w:rPr>
            </w:pPr>
            <w:r>
              <w:rPr>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878" w:type="dxa"/>
            <w:vAlign w:val="center"/>
          </w:tcPr>
          <w:p>
            <w:pPr>
              <w:widowControl/>
              <w:jc w:val="center"/>
              <w:rPr>
                <w:kern w:val="0"/>
                <w:sz w:val="24"/>
                <w:szCs w:val="24"/>
              </w:rPr>
            </w:pPr>
            <w:r>
              <w:rPr>
                <w:kern w:val="0"/>
                <w:sz w:val="24"/>
                <w:szCs w:val="24"/>
              </w:rPr>
              <w:t>1</w:t>
            </w:r>
          </w:p>
        </w:tc>
        <w:tc>
          <w:tcPr>
            <w:tcW w:w="2349" w:type="dxa"/>
            <w:vAlign w:val="center"/>
          </w:tcPr>
          <w:p>
            <w:pPr>
              <w:widowControl/>
              <w:jc w:val="center"/>
              <w:rPr>
                <w:kern w:val="0"/>
                <w:sz w:val="24"/>
                <w:szCs w:val="24"/>
              </w:rPr>
            </w:pPr>
          </w:p>
        </w:tc>
        <w:tc>
          <w:tcPr>
            <w:tcW w:w="1701" w:type="dxa"/>
            <w:vAlign w:val="center"/>
          </w:tcPr>
          <w:p>
            <w:pPr>
              <w:widowControl/>
              <w:jc w:val="center"/>
              <w:rPr>
                <w:kern w:val="0"/>
                <w:sz w:val="24"/>
                <w:szCs w:val="24"/>
              </w:rPr>
            </w:pPr>
          </w:p>
        </w:tc>
        <w:tc>
          <w:tcPr>
            <w:tcW w:w="2238" w:type="dxa"/>
            <w:vAlign w:val="center"/>
          </w:tcPr>
          <w:p>
            <w:pPr>
              <w:widowControl/>
              <w:jc w:val="center"/>
              <w:rPr>
                <w:sz w:val="24"/>
                <w:szCs w:val="24"/>
              </w:rPr>
            </w:pPr>
            <w:r>
              <w:rPr>
                <w:sz w:val="24"/>
                <w:szCs w:val="24"/>
              </w:rPr>
              <w:t>1项</w:t>
            </w:r>
          </w:p>
        </w:tc>
        <w:tc>
          <w:tcPr>
            <w:tcW w:w="1848"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014" w:type="dxa"/>
            <w:gridSpan w:val="5"/>
            <w:vAlign w:val="center"/>
          </w:tcPr>
          <w:p>
            <w:pPr>
              <w:widowControl/>
              <w:jc w:val="left"/>
              <w:rPr>
                <w:kern w:val="0"/>
                <w:sz w:val="24"/>
                <w:szCs w:val="24"/>
              </w:rPr>
            </w:pPr>
            <w:r>
              <w:rPr>
                <w:kern w:val="0"/>
                <w:sz w:val="24"/>
                <w:szCs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b/>
                <w:sz w:val="24"/>
                <w:szCs w:val="24"/>
              </w:rPr>
            </w:pPr>
            <w:r>
              <w:rPr>
                <w:b/>
                <w:sz w:val="24"/>
                <w:szCs w:val="24"/>
              </w:rPr>
              <w:t>分项名称</w:t>
            </w:r>
          </w:p>
        </w:tc>
        <w:tc>
          <w:tcPr>
            <w:tcW w:w="1701" w:type="dxa"/>
            <w:vAlign w:val="center"/>
          </w:tcPr>
          <w:p>
            <w:pPr>
              <w:widowControl/>
              <w:jc w:val="center"/>
              <w:rPr>
                <w:b/>
                <w:kern w:val="0"/>
                <w:sz w:val="24"/>
                <w:szCs w:val="24"/>
              </w:rPr>
            </w:pPr>
            <w:r>
              <w:rPr>
                <w:b/>
                <w:kern w:val="0"/>
                <w:sz w:val="24"/>
                <w:szCs w:val="24"/>
              </w:rPr>
              <w:t>价格</w:t>
            </w:r>
          </w:p>
        </w:tc>
        <w:tc>
          <w:tcPr>
            <w:tcW w:w="2238" w:type="dxa"/>
            <w:vAlign w:val="center"/>
          </w:tcPr>
          <w:p>
            <w:pPr>
              <w:widowControl/>
              <w:jc w:val="center"/>
              <w:rPr>
                <w:b/>
                <w:kern w:val="0"/>
                <w:sz w:val="24"/>
                <w:szCs w:val="24"/>
              </w:rPr>
            </w:pPr>
            <w:r>
              <w:rPr>
                <w:b/>
                <w:kern w:val="0"/>
                <w:sz w:val="24"/>
                <w:szCs w:val="24"/>
              </w:rPr>
              <w:t>数量</w:t>
            </w:r>
          </w:p>
        </w:tc>
        <w:tc>
          <w:tcPr>
            <w:tcW w:w="1848" w:type="dxa"/>
            <w:vAlign w:val="center"/>
          </w:tcPr>
          <w:p>
            <w:pPr>
              <w:widowControl/>
              <w:jc w:val="center"/>
              <w:rPr>
                <w:b/>
                <w:bCs/>
                <w:kern w:val="0"/>
                <w:sz w:val="24"/>
                <w:szCs w:val="24"/>
              </w:rPr>
            </w:pPr>
            <w:r>
              <w:rPr>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3227" w:type="dxa"/>
            <w:gridSpan w:val="2"/>
            <w:vAlign w:val="center"/>
          </w:tcPr>
          <w:p>
            <w:pPr>
              <w:widowControl/>
              <w:jc w:val="left"/>
              <w:rPr>
                <w:kern w:val="0"/>
                <w:sz w:val="24"/>
                <w:szCs w:val="24"/>
              </w:rPr>
            </w:pPr>
            <w:r>
              <w:rPr>
                <w:sz w:val="24"/>
              </w:rPr>
              <w:t>论证费</w:t>
            </w: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kern w:val="0"/>
                <w:sz w:val="24"/>
                <w:szCs w:val="24"/>
              </w:rPr>
            </w:pPr>
            <w:r>
              <w:rPr>
                <w:sz w:val="24"/>
              </w:rPr>
              <w:t>咨询费</w:t>
            </w: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kern w:val="0"/>
                <w:sz w:val="24"/>
                <w:szCs w:val="24"/>
              </w:rPr>
            </w:pPr>
            <w:r>
              <w:rPr>
                <w:sz w:val="24"/>
              </w:rPr>
              <w:t>评审（鉴定）会议费</w:t>
            </w: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kern w:val="0"/>
                <w:sz w:val="24"/>
                <w:szCs w:val="24"/>
              </w:rPr>
            </w:pPr>
            <w:r>
              <w:rPr>
                <w:sz w:val="24"/>
              </w:rPr>
              <w:t>调研差旅费</w:t>
            </w: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sz w:val="24"/>
              </w:rPr>
            </w:pPr>
            <w:r>
              <w:rPr>
                <w:sz w:val="24"/>
              </w:rPr>
              <w:t>管理费、税费</w:t>
            </w: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left"/>
              <w:rPr>
                <w:sz w:val="24"/>
              </w:rPr>
            </w:pPr>
            <w:r>
              <w:rPr>
                <w:sz w:val="24"/>
              </w:rPr>
              <w:t>……</w:t>
            </w: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27" w:type="dxa"/>
            <w:gridSpan w:val="2"/>
            <w:vAlign w:val="center"/>
          </w:tcPr>
          <w:p>
            <w:pPr>
              <w:widowControl/>
              <w:jc w:val="center"/>
              <w:rPr>
                <w:sz w:val="24"/>
              </w:rPr>
            </w:pPr>
          </w:p>
        </w:tc>
        <w:tc>
          <w:tcPr>
            <w:tcW w:w="1701" w:type="dxa"/>
            <w:vAlign w:val="center"/>
          </w:tcPr>
          <w:p>
            <w:pPr>
              <w:widowControl/>
              <w:jc w:val="center"/>
              <w:rPr>
                <w:kern w:val="0"/>
                <w:sz w:val="24"/>
                <w:szCs w:val="24"/>
              </w:rPr>
            </w:pPr>
          </w:p>
        </w:tc>
        <w:tc>
          <w:tcPr>
            <w:tcW w:w="2238" w:type="dxa"/>
            <w:vAlign w:val="center"/>
          </w:tcPr>
          <w:p>
            <w:pPr>
              <w:widowControl/>
              <w:jc w:val="center"/>
              <w:rPr>
                <w:kern w:val="0"/>
                <w:sz w:val="24"/>
                <w:szCs w:val="24"/>
              </w:rPr>
            </w:pPr>
          </w:p>
        </w:tc>
        <w:tc>
          <w:tcPr>
            <w:tcW w:w="1848" w:type="dxa"/>
            <w:vAlign w:val="center"/>
          </w:tcPr>
          <w:p>
            <w:pPr>
              <w:widowControl/>
              <w:jc w:val="center"/>
              <w:rPr>
                <w:kern w:val="0"/>
                <w:sz w:val="24"/>
                <w:szCs w:val="24"/>
              </w:rPr>
            </w:pPr>
          </w:p>
        </w:tc>
      </w:tr>
    </w:tbl>
    <w:p>
      <w:pPr>
        <w:ind w:left="180"/>
        <w:rPr>
          <w:sz w:val="22"/>
          <w:szCs w:val="24"/>
        </w:rPr>
      </w:pPr>
      <w:r>
        <w:rPr>
          <w:sz w:val="22"/>
          <w:szCs w:val="24"/>
        </w:rPr>
        <w:t>注：1. 本表第一行填写本项目投标总价，须与附件2中投标总价保持一致。</w:t>
      </w:r>
    </w:p>
    <w:p>
      <w:pPr>
        <w:ind w:left="180" w:firstLine="408" w:firstLineChars="200"/>
      </w:pPr>
      <w:r>
        <w:rPr>
          <w:sz w:val="22"/>
          <w:szCs w:val="24"/>
        </w:rPr>
        <w:t>2. 下面应填写分项价格及分项名称（分项名称可根据实际情况增减、修改），分项价格汇总应等于总价。</w:t>
      </w:r>
    </w:p>
    <w:p>
      <w:pPr>
        <w:spacing w:line="360" w:lineRule="auto"/>
        <w:ind w:firstLine="3808" w:firstLineChars="1700"/>
        <w:rPr>
          <w:sz w:val="24"/>
        </w:rPr>
      </w:pPr>
      <w:r>
        <w:rPr>
          <w:sz w:val="24"/>
        </w:rPr>
        <w:t>投标人名称：</w:t>
      </w:r>
    </w:p>
    <w:p>
      <w:pPr>
        <w:spacing w:line="360" w:lineRule="auto"/>
        <w:ind w:firstLine="3808" w:firstLineChars="1700"/>
        <w:rPr>
          <w:sz w:val="24"/>
        </w:rPr>
      </w:pP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sz w:val="24"/>
        </w:rPr>
      </w:pPr>
      <w:r>
        <w:rPr>
          <w:sz w:val="24"/>
        </w:rPr>
        <w:br w:type="page"/>
      </w:r>
    </w:p>
    <w:p>
      <w:pPr>
        <w:tabs>
          <w:tab w:val="left" w:pos="360"/>
        </w:tabs>
        <w:spacing w:after="285" w:afterLines="100" w:line="360" w:lineRule="auto"/>
        <w:rPr>
          <w:b/>
          <w:sz w:val="24"/>
        </w:rPr>
      </w:pPr>
      <w:r>
        <w:rPr>
          <w:b/>
          <w:sz w:val="24"/>
        </w:rPr>
        <w:t>附件4</w:t>
      </w: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17"/>
        <w:tblW w:w="5133" w:type="pct"/>
        <w:tblInd w:w="0" w:type="dxa"/>
        <w:tblLayout w:type="autofit"/>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（二）服务要求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（三）时间、地点要求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（四）付款方式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kern w:val="0"/>
                <w:szCs w:val="21"/>
              </w:rPr>
            </w:pPr>
            <w:r>
              <w:rPr>
                <w:color w:val="000000"/>
                <w:kern w:val="0"/>
                <w:szCs w:val="21"/>
              </w:rPr>
              <w:t>（五）投标保证金和履约保证金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kern w:val="0"/>
                <w:szCs w:val="21"/>
              </w:rPr>
            </w:pPr>
            <w:r>
              <w:rPr>
                <w:color w:val="000000"/>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rFonts w:hint="eastAsia"/>
          <w:sz w:val="24"/>
        </w:rPr>
        <w:t>3</w:t>
      </w:r>
      <w:r>
        <w:rPr>
          <w:sz w:val="24"/>
        </w:rPr>
        <w:t>. 偏离说明指招标要求与投标应答之间的不同之处。</w:t>
      </w:r>
    </w:p>
    <w:p>
      <w:pPr>
        <w:spacing w:line="360" w:lineRule="auto"/>
        <w:rPr>
          <w:sz w:val="24"/>
        </w:rPr>
      </w:pPr>
    </w:p>
    <w:p>
      <w:pPr>
        <w:spacing w:line="360" w:lineRule="auto"/>
        <w:ind w:firstLine="3808" w:firstLineChars="1700"/>
        <w:rPr>
          <w:sz w:val="24"/>
        </w:rPr>
      </w:pPr>
      <w:r>
        <w:rPr>
          <w:sz w:val="24"/>
        </w:rPr>
        <w:t>投标人名称：</w:t>
      </w:r>
    </w:p>
    <w:p>
      <w:pPr>
        <w:spacing w:line="360" w:lineRule="auto"/>
        <w:ind w:firstLine="3808" w:firstLineChars="1700"/>
        <w:rPr>
          <w:sz w:val="24"/>
        </w:rPr>
      </w:pP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tabs>
          <w:tab w:val="left" w:pos="360"/>
        </w:tabs>
        <w:spacing w:after="285" w:afterLines="100" w:line="360" w:lineRule="auto"/>
        <w:rPr>
          <w:b/>
          <w:sz w:val="24"/>
        </w:rPr>
      </w:pPr>
      <w:r>
        <w:rPr>
          <w:sz w:val="24"/>
        </w:rPr>
        <w:br w:type="page"/>
      </w:r>
      <w:r>
        <w:rPr>
          <w:b/>
          <w:sz w:val="24"/>
        </w:rPr>
        <w:t>附件5</w:t>
      </w:r>
    </w:p>
    <w:p>
      <w:pPr>
        <w:autoSpaceDN w:val="0"/>
        <w:spacing w:line="360" w:lineRule="auto"/>
        <w:jc w:val="center"/>
        <w:rPr>
          <w:b/>
          <w:bCs/>
          <w:sz w:val="24"/>
        </w:rPr>
      </w:pPr>
      <w:r>
        <w:rPr>
          <w:b/>
          <w:bCs/>
          <w:sz w:val="24"/>
        </w:rPr>
        <w:t>技术要求点对点应答表</w:t>
      </w:r>
    </w:p>
    <w:p>
      <w:pPr>
        <w:spacing w:line="460" w:lineRule="exac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17"/>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22"/>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3922"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3922"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投标人须承诺所提供的服务、人员及设备符合相关强制性规定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5" w:type="dxa"/>
            <w:gridSpan w:val="5"/>
            <w:shd w:val="clear" w:color="auto" w:fill="auto"/>
            <w:vAlign w:val="center"/>
          </w:tcPr>
          <w:p>
            <w:pPr>
              <w:widowControl/>
              <w:snapToGrid w:val="0"/>
              <w:ind w:firstLine="336" w:firstLineChars="150"/>
              <w:rPr>
                <w:kern w:val="0"/>
                <w:sz w:val="24"/>
                <w:szCs w:val="21"/>
              </w:rPr>
            </w:pPr>
            <w:r>
              <w:rPr>
                <w:kern w:val="0"/>
                <w:sz w:val="24"/>
                <w:szCs w:val="21"/>
              </w:rPr>
              <w:t>2.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3922"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3922"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招标文件要求。投标人自行承担由此造成的一切后果。</w:t>
      </w:r>
    </w:p>
    <w:p>
      <w:pPr>
        <w:spacing w:line="360" w:lineRule="auto"/>
        <w:rPr>
          <w:sz w:val="24"/>
        </w:rPr>
      </w:pPr>
    </w:p>
    <w:p>
      <w:pPr>
        <w:spacing w:line="360" w:lineRule="auto"/>
        <w:ind w:firstLine="3808" w:firstLineChars="1700"/>
        <w:rPr>
          <w:sz w:val="24"/>
        </w:rPr>
      </w:pPr>
      <w:r>
        <w:rPr>
          <w:sz w:val="24"/>
        </w:rPr>
        <w:t>投标人名称：</w:t>
      </w:r>
    </w:p>
    <w:p>
      <w:pPr>
        <w:spacing w:line="360" w:lineRule="auto"/>
        <w:ind w:firstLine="3808" w:firstLineChars="1700"/>
        <w:rPr>
          <w:sz w:val="24"/>
        </w:rPr>
      </w:pP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tabs>
          <w:tab w:val="left" w:pos="360"/>
        </w:tabs>
        <w:spacing w:after="285" w:afterLines="100" w:line="360" w:lineRule="auto"/>
        <w:rPr>
          <w:b/>
          <w:sz w:val="24"/>
        </w:rPr>
      </w:pPr>
      <w:r>
        <w:rPr>
          <w:sz w:val="24"/>
        </w:rPr>
        <w:br w:type="page"/>
      </w:r>
      <w:r>
        <w:rPr>
          <w:b/>
          <w:sz w:val="24"/>
        </w:rPr>
        <w:t>附件6</w:t>
      </w:r>
    </w:p>
    <w:p>
      <w:pPr>
        <w:autoSpaceDN w:val="0"/>
        <w:spacing w:line="360" w:lineRule="auto"/>
        <w:jc w:val="center"/>
        <w:rPr>
          <w:b/>
          <w:bCs/>
          <w:sz w:val="24"/>
        </w:rPr>
      </w:pPr>
      <w:r>
        <w:rPr>
          <w:b/>
          <w:sz w:val="24"/>
        </w:rPr>
        <w:t>主要相关项目业绩一览表</w:t>
      </w:r>
    </w:p>
    <w:p>
      <w:pPr>
        <w:spacing w:line="460" w:lineRule="exact"/>
        <w:ind w:left="192"/>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ind w:left="192"/>
        <w:rPr>
          <w:sz w:val="24"/>
        </w:rPr>
      </w:pPr>
    </w:p>
    <w:tbl>
      <w:tblPr>
        <w:tblStyle w:val="17"/>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239"/>
        <w:gridCol w:w="1239"/>
        <w:gridCol w:w="2131"/>
        <w:gridCol w:w="137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用户单位名称</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项目内容</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实施地点</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用户联系人及联系方式</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项目起止时间</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bl>
    <w:p>
      <w:pPr>
        <w:spacing w:line="560" w:lineRule="exact"/>
        <w:rPr>
          <w:sz w:val="24"/>
        </w:rPr>
      </w:pPr>
      <w:r>
        <w:rPr>
          <w:sz w:val="24"/>
        </w:rPr>
        <w:t>备注：若招标文件第二部分评分因素及评标标准中要求提供业绩的，投标人所列业绩应按其要求将证明材料按顺序附后。</w:t>
      </w:r>
    </w:p>
    <w:p>
      <w:pPr>
        <w:spacing w:line="560" w:lineRule="exact"/>
        <w:rPr>
          <w:sz w:val="24"/>
        </w:rPr>
      </w:pPr>
    </w:p>
    <w:p>
      <w:pPr>
        <w:spacing w:line="360" w:lineRule="auto"/>
        <w:ind w:firstLine="3808" w:firstLineChars="1700"/>
        <w:rPr>
          <w:sz w:val="24"/>
        </w:rPr>
      </w:pPr>
      <w:r>
        <w:rPr>
          <w:sz w:val="24"/>
        </w:rPr>
        <w:t>投标人名称：</w:t>
      </w:r>
    </w:p>
    <w:p>
      <w:pPr>
        <w:spacing w:line="360" w:lineRule="auto"/>
        <w:ind w:firstLine="3808" w:firstLineChars="1700"/>
        <w:rPr>
          <w:sz w:val="24"/>
        </w:rPr>
      </w:pP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60" w:lineRule="exact"/>
        <w:rPr>
          <w:sz w:val="24"/>
        </w:rPr>
      </w:pPr>
    </w:p>
    <w:p>
      <w:pPr>
        <w:widowControl/>
        <w:jc w:val="left"/>
        <w:rPr>
          <w:sz w:val="24"/>
        </w:rPr>
      </w:pPr>
      <w:r>
        <w:rPr>
          <w:sz w:val="24"/>
        </w:rPr>
        <w:br w:type="page"/>
      </w:r>
    </w:p>
    <w:p>
      <w:pPr>
        <w:tabs>
          <w:tab w:val="left" w:pos="360"/>
        </w:tabs>
        <w:spacing w:after="285" w:afterLines="100" w:line="360" w:lineRule="auto"/>
        <w:rPr>
          <w:b/>
          <w:sz w:val="24"/>
        </w:rPr>
      </w:pPr>
      <w:r>
        <w:rPr>
          <w:b/>
          <w:sz w:val="24"/>
        </w:rPr>
        <w:t>附件7</w:t>
      </w:r>
    </w:p>
    <w:p>
      <w:pPr>
        <w:autoSpaceDN w:val="0"/>
        <w:spacing w:line="360" w:lineRule="auto"/>
        <w:jc w:val="center"/>
        <w:rPr>
          <w:b/>
          <w:bCs/>
          <w:sz w:val="24"/>
        </w:rPr>
      </w:pPr>
      <w:r>
        <w:rPr>
          <w:rFonts w:hint="eastAsia"/>
          <w:b/>
          <w:bCs/>
          <w:sz w:val="24"/>
        </w:rPr>
        <w:t>投标</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致：天津市政府采购中心</w:t>
      </w:r>
    </w:p>
    <w:p>
      <w:pPr>
        <w:snapToGrid w:val="0"/>
        <w:spacing w:line="360" w:lineRule="auto"/>
        <w:ind w:firstLine="448" w:firstLineChars="200"/>
        <w:rPr>
          <w:sz w:val="24"/>
          <w:szCs w:val="21"/>
        </w:rPr>
      </w:pPr>
      <w:r>
        <w:rPr>
          <w:rFonts w:hint="eastAsia"/>
          <w:sz w:val="24"/>
          <w:szCs w:val="21"/>
        </w:rPr>
        <w:t>我单位</w:t>
      </w:r>
      <w:r>
        <w:rPr>
          <w:sz w:val="24"/>
          <w:szCs w:val="21"/>
        </w:rPr>
        <w:t>授权委托在职职工_______________（姓名，职务）（身份证号码：____________________、联系电话：_______________）作为投标代表人以我方的名义参加贵中心______________________项目（项目编号：_______________）的投标活动，并代表我方全权办理针对上述项目的投标、开标、投标文件澄清、签约等一切具体事务和签署相关文件。</w:t>
      </w:r>
    </w:p>
    <w:p>
      <w:pPr>
        <w:snapToGrid w:val="0"/>
        <w:spacing w:line="360" w:lineRule="auto"/>
        <w:ind w:firstLine="448" w:firstLineChars="200"/>
        <w:rPr>
          <w:sz w:val="24"/>
          <w:szCs w:val="21"/>
        </w:rPr>
      </w:pPr>
      <w:r>
        <w:rPr>
          <w:sz w:val="24"/>
          <w:szCs w:val="21"/>
        </w:rPr>
        <w:t>我方对</w:t>
      </w:r>
      <w:r>
        <w:rPr>
          <w:rFonts w:hint="eastAsia"/>
          <w:sz w:val="24"/>
          <w:szCs w:val="21"/>
        </w:rPr>
        <w:t>投标代表人</w:t>
      </w:r>
      <w:r>
        <w:rPr>
          <w:sz w:val="24"/>
          <w:szCs w:val="21"/>
        </w:rPr>
        <w:t>的签名事项负全部责任。</w:t>
      </w:r>
    </w:p>
    <w:p>
      <w:pPr>
        <w:snapToGrid w:val="0"/>
        <w:spacing w:line="360" w:lineRule="auto"/>
        <w:ind w:firstLine="448" w:firstLineChars="200"/>
        <w:rPr>
          <w:sz w:val="24"/>
          <w:szCs w:val="21"/>
        </w:rPr>
      </w:pPr>
      <w:r>
        <w:rPr>
          <w:sz w:val="24"/>
          <w:szCs w:val="21"/>
        </w:rPr>
        <w:t>本授权书至投标有效期结束前始终有效。</w:t>
      </w:r>
    </w:p>
    <w:p>
      <w:pPr>
        <w:snapToGrid w:val="0"/>
        <w:spacing w:line="360" w:lineRule="auto"/>
        <w:ind w:firstLine="448" w:firstLineChars="200"/>
        <w:rPr>
          <w:sz w:val="24"/>
          <w:szCs w:val="21"/>
        </w:rPr>
      </w:pPr>
      <w:r>
        <w:rPr>
          <w:sz w:val="24"/>
          <w:szCs w:val="21"/>
        </w:rPr>
        <w:t>投标代表人无转委托权，特此委托。</w:t>
      </w:r>
    </w:p>
    <w:p>
      <w:pPr>
        <w:spacing w:line="360" w:lineRule="auto"/>
        <w:ind w:firstLine="448" w:firstLineChars="200"/>
        <w:rPr>
          <w:sz w:val="24"/>
        </w:rPr>
      </w:pPr>
    </w:p>
    <w:p>
      <w:pPr>
        <w:spacing w:line="360" w:lineRule="auto"/>
        <w:ind w:firstLine="448" w:firstLineChars="200"/>
        <w:rPr>
          <w:sz w:val="24"/>
        </w:rPr>
      </w:pPr>
    </w:p>
    <w:p>
      <w:pPr>
        <w:spacing w:line="360" w:lineRule="auto"/>
        <w:ind w:firstLine="448" w:firstLineChars="200"/>
        <w:rPr>
          <w:sz w:val="24"/>
        </w:rPr>
      </w:pPr>
    </w:p>
    <w:p>
      <w:pPr>
        <w:spacing w:line="480" w:lineRule="auto"/>
        <w:jc w:val="center"/>
        <w:rPr>
          <w:sz w:val="24"/>
        </w:rPr>
      </w:pPr>
      <w:r>
        <w:rPr>
          <w:sz w:val="24"/>
        </w:rPr>
        <w:t xml:space="preserve">     年   月   日 </w:t>
      </w:r>
    </w:p>
    <w:p>
      <w:pPr>
        <w:spacing w:line="360" w:lineRule="auto"/>
        <w:ind w:firstLine="4704" w:firstLineChars="2100"/>
        <w:rPr>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sz w:val="24"/>
              </w:rPr>
            </w:pPr>
            <w:r>
              <w:rPr>
                <w:sz w:val="24"/>
              </w:rPr>
              <w:t>投标代表人身份证正面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4" w:type="dxa"/>
          </w:tcPr>
          <w:p>
            <w:pPr>
              <w:spacing w:line="360" w:lineRule="auto"/>
              <w:jc w:val="left"/>
              <w:rPr>
                <w:sz w:val="24"/>
              </w:rPr>
            </w:pPr>
            <w:r>
              <w:rPr>
                <w:sz w:val="24"/>
              </w:rPr>
              <w:t>投标代表人身份证背面</w:t>
            </w:r>
          </w:p>
        </w:tc>
      </w:tr>
    </w:tbl>
    <w:p>
      <w:pPr>
        <w:widowControl/>
        <w:jc w:val="left"/>
        <w:rPr>
          <w:sz w:val="24"/>
        </w:rPr>
      </w:pPr>
      <w:r>
        <w:rPr>
          <w:sz w:val="24"/>
        </w:rPr>
        <w:br w:type="page"/>
      </w:r>
    </w:p>
    <w:p>
      <w:pPr>
        <w:autoSpaceDN w:val="0"/>
        <w:spacing w:line="360" w:lineRule="auto"/>
        <w:jc w:val="left"/>
        <w:rPr>
          <w:b/>
          <w:bCs/>
          <w:sz w:val="24"/>
        </w:rPr>
      </w:pPr>
      <w:r>
        <w:rPr>
          <w:b/>
          <w:bCs/>
          <w:sz w:val="24"/>
        </w:rPr>
        <w:t>附件8</w:t>
      </w:r>
      <w:r>
        <w:rPr>
          <w:rFonts w:hint="eastAsia"/>
          <w:b/>
          <w:bCs/>
          <w:sz w:val="24"/>
        </w:rPr>
        <w:t>-1</w:t>
      </w:r>
    </w:p>
    <w:p>
      <w:pPr>
        <w:autoSpaceDE w:val="0"/>
        <w:autoSpaceDN w:val="0"/>
        <w:spacing w:line="480" w:lineRule="auto"/>
        <w:jc w:val="center"/>
        <w:rPr>
          <w:sz w:val="24"/>
          <w:szCs w:val="24"/>
        </w:rPr>
      </w:pPr>
      <w:r>
        <w:rPr>
          <w:b/>
          <w:sz w:val="24"/>
          <w:szCs w:val="24"/>
        </w:rPr>
        <w:t>中小企业声明函（服务）</w:t>
      </w:r>
    </w:p>
    <w:p>
      <w:pPr>
        <w:widowControl/>
        <w:spacing w:line="500" w:lineRule="exact"/>
        <w:ind w:firstLine="448"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48" w:firstLineChars="200"/>
        <w:jc w:val="left"/>
        <w:rPr>
          <w:sz w:val="24"/>
          <w:szCs w:val="24"/>
        </w:rPr>
      </w:pPr>
      <w:r>
        <w:rPr>
          <w:sz w:val="24"/>
          <w:szCs w:val="24"/>
        </w:rPr>
        <w:t>1.</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rFonts w:hint="eastAsia"/>
          <w:sz w:val="24"/>
          <w:szCs w:val="24"/>
          <w:u w:val="single"/>
        </w:rPr>
        <w:t>水利、环境和公共设施管理业</w:t>
      </w:r>
      <w:r>
        <w:rPr>
          <w:sz w:val="24"/>
          <w:szCs w:val="24"/>
          <w:u w:val="single"/>
        </w:rPr>
        <w:t xml:space="preserve">  </w:t>
      </w:r>
      <w:r>
        <w:rPr>
          <w:sz w:val="24"/>
          <w:szCs w:val="24"/>
        </w:rPr>
        <w:t>；承接企业为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firstLine="448" w:firstLineChars="200"/>
        <w:jc w:val="left"/>
        <w:rPr>
          <w:sz w:val="24"/>
          <w:szCs w:val="24"/>
        </w:rPr>
      </w:pPr>
      <w:r>
        <w:rPr>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48" w:firstLineChars="200"/>
        <w:jc w:val="left"/>
        <w:rPr>
          <w:sz w:val="24"/>
          <w:szCs w:val="24"/>
        </w:rPr>
      </w:pPr>
      <w:r>
        <w:rPr>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32"/>
        </w:rPr>
      </w:pPr>
      <w:r>
        <w:rPr>
          <w:sz w:val="24"/>
          <w:szCs w:val="24"/>
        </w:rPr>
        <w:t>日期：</w:t>
      </w:r>
    </w:p>
    <w:p>
      <w:pPr>
        <w:spacing w:line="360" w:lineRule="auto"/>
        <w:ind w:right="84" w:firstLine="224" w:firstLineChars="100"/>
        <w:rPr>
          <w:b/>
          <w:sz w:val="24"/>
          <w:szCs w:val="24"/>
        </w:rPr>
      </w:pPr>
      <w:r>
        <w:rPr>
          <w:b/>
          <w:sz w:val="24"/>
          <w:szCs w:val="24"/>
        </w:rPr>
        <w:t>注：</w:t>
      </w:r>
    </w:p>
    <w:p>
      <w:pPr>
        <w:spacing w:line="360" w:lineRule="auto"/>
        <w:ind w:right="84" w:firstLine="224"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pPr>
        <w:spacing w:line="360" w:lineRule="auto"/>
        <w:ind w:right="84" w:firstLine="224"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pPr>
        <w:spacing w:line="360" w:lineRule="auto"/>
        <w:ind w:right="84" w:firstLine="224" w:firstLineChars="100"/>
        <w:rPr>
          <w:b/>
          <w:sz w:val="24"/>
          <w:szCs w:val="24"/>
        </w:rPr>
      </w:pPr>
      <w:r>
        <w:rPr>
          <w:b/>
          <w:sz w:val="24"/>
          <w:szCs w:val="24"/>
        </w:rPr>
        <w:t>3.中标（成交）供应商享受中小企业扶持政策的，将随中标（成交）结果同时公告其《中小企业声明函》，接受社会监督。</w:t>
      </w:r>
    </w:p>
    <w:p>
      <w:pPr>
        <w:widowControl/>
        <w:jc w:val="left"/>
        <w:rPr>
          <w:sz w:val="24"/>
        </w:rPr>
      </w:pPr>
      <w:r>
        <w:rPr>
          <w:sz w:val="24"/>
        </w:rPr>
        <w:br w:type="page"/>
      </w:r>
    </w:p>
    <w:p>
      <w:pPr>
        <w:autoSpaceDN w:val="0"/>
        <w:spacing w:line="360" w:lineRule="auto"/>
        <w:rPr>
          <w:b/>
          <w:bCs/>
          <w:sz w:val="24"/>
        </w:rPr>
      </w:pPr>
      <w:bookmarkStart w:id="6" w:name="OLE_LINK13"/>
      <w:bookmarkStart w:id="7" w:name="OLE_LINK14"/>
      <w:r>
        <w:rPr>
          <w:rFonts w:hint="eastAsia"/>
          <w:b/>
          <w:bCs/>
          <w:sz w:val="24"/>
        </w:rPr>
        <w:t>附件8-2</w:t>
      </w:r>
    </w:p>
    <w:bookmarkEnd w:id="6"/>
    <w:bookmarkEnd w:id="7"/>
    <w:p>
      <w:pPr>
        <w:autoSpaceDN w:val="0"/>
        <w:spacing w:line="360" w:lineRule="auto"/>
        <w:jc w:val="left"/>
        <w:rPr>
          <w:b/>
          <w:bCs/>
          <w:sz w:val="24"/>
        </w:rPr>
      </w:pPr>
      <w:r>
        <w:rPr>
          <w:rFonts w:hint="eastAsia"/>
          <w:b/>
          <w:kern w:val="0"/>
          <w:sz w:val="24"/>
          <w:szCs w:val="21"/>
        </w:rPr>
        <w:t>若不是残疾人福利性单位，投标文件中可不提供此声明函</w:t>
      </w:r>
    </w:p>
    <w:p>
      <w:pPr>
        <w:autoSpaceDN w:val="0"/>
        <w:spacing w:line="360" w:lineRule="auto"/>
        <w:jc w:val="center"/>
        <w:rPr>
          <w:b/>
          <w:bCs/>
          <w:sz w:val="24"/>
        </w:rPr>
      </w:pPr>
    </w:p>
    <w:p>
      <w:pPr>
        <w:snapToGrid w:val="0"/>
        <w:spacing w:line="360" w:lineRule="auto"/>
        <w:jc w:val="center"/>
        <w:rPr>
          <w:b/>
          <w:bCs/>
          <w:sz w:val="24"/>
        </w:rPr>
      </w:pPr>
      <w:r>
        <w:rPr>
          <w:rFonts w:hint="eastAsia"/>
          <w:b/>
          <w:bCs/>
          <w:sz w:val="24"/>
        </w:rPr>
        <w:t>残疾人福利性单位声明函</w:t>
      </w:r>
    </w:p>
    <w:p>
      <w:pPr>
        <w:snapToGrid w:val="0"/>
        <w:spacing w:line="360" w:lineRule="auto"/>
        <w:ind w:firstLine="448" w:firstLineChars="200"/>
        <w:jc w:val="left"/>
        <w:rPr>
          <w:b/>
          <w:bCs/>
          <w:sz w:val="24"/>
        </w:rPr>
      </w:pPr>
    </w:p>
    <w:p>
      <w:pPr>
        <w:snapToGrid w:val="0"/>
        <w:spacing w:line="360" w:lineRule="auto"/>
        <w:ind w:firstLine="448"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8" w:firstLineChars="200"/>
        <w:jc w:val="left"/>
        <w:rPr>
          <w:bCs/>
          <w:sz w:val="24"/>
        </w:rPr>
      </w:pPr>
      <w:r>
        <w:rPr>
          <w:rFonts w:hint="eastAsia"/>
          <w:bCs/>
          <w:sz w:val="24"/>
        </w:rPr>
        <w:t>本单位对上述声明的真实性负责。如有虚假，将依法承担相应责任。</w:t>
      </w: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r>
        <w:rPr>
          <w:rFonts w:hint="eastAsia"/>
          <w:bCs/>
          <w:sz w:val="24"/>
        </w:rPr>
        <w:t xml:space="preserve">               </w:t>
      </w:r>
      <w:r>
        <w:rPr>
          <w:sz w:val="24"/>
          <w:szCs w:val="24"/>
        </w:rPr>
        <w:t>投标人名称：</w:t>
      </w:r>
    </w:p>
    <w:p>
      <w:pPr>
        <w:snapToGrid w:val="0"/>
        <w:spacing w:line="360" w:lineRule="auto"/>
        <w:ind w:firstLine="448" w:firstLineChars="200"/>
        <w:jc w:val="left"/>
        <w:rPr>
          <w:bCs/>
          <w:sz w:val="24"/>
        </w:rPr>
      </w:pPr>
    </w:p>
    <w:p>
      <w:pPr>
        <w:snapToGrid w:val="0"/>
        <w:spacing w:line="360" w:lineRule="auto"/>
        <w:ind w:firstLine="448" w:firstLineChars="200"/>
        <w:jc w:val="left"/>
        <w:rPr>
          <w:sz w:val="24"/>
          <w:szCs w:val="21"/>
        </w:rPr>
      </w:pPr>
      <w:r>
        <w:rPr>
          <w:rFonts w:hint="eastAsia"/>
          <w:bCs/>
          <w:sz w:val="24"/>
        </w:rPr>
        <w:t xml:space="preserve">               日  期：</w:t>
      </w:r>
    </w:p>
    <w:p>
      <w:pPr>
        <w:snapToGrid w:val="0"/>
        <w:spacing w:line="360" w:lineRule="auto"/>
        <w:ind w:firstLine="448" w:firstLineChars="200"/>
        <w:jc w:val="left"/>
        <w:rPr>
          <w:sz w:val="24"/>
          <w:szCs w:val="21"/>
        </w:rPr>
      </w:pPr>
    </w:p>
    <w:p>
      <w:pPr>
        <w:snapToGrid w:val="0"/>
        <w:spacing w:line="360" w:lineRule="auto"/>
        <w:ind w:firstLine="448" w:firstLineChars="200"/>
        <w:rPr>
          <w:sz w:val="24"/>
          <w:szCs w:val="21"/>
        </w:rPr>
      </w:pPr>
      <w:r>
        <w:rPr>
          <w:sz w:val="24"/>
          <w:szCs w:val="21"/>
        </w:rPr>
        <w:t>注：</w:t>
      </w:r>
    </w:p>
    <w:p>
      <w:pPr>
        <w:snapToGrid w:val="0"/>
        <w:spacing w:line="360" w:lineRule="auto"/>
        <w:ind w:firstLine="448" w:firstLineChars="200"/>
        <w:rPr>
          <w:b/>
          <w:sz w:val="24"/>
          <w:szCs w:val="21"/>
        </w:rPr>
      </w:pPr>
      <w:r>
        <w:rPr>
          <w:b/>
          <w:sz w:val="24"/>
          <w:szCs w:val="21"/>
        </w:rPr>
        <w:t>中标供应商为残疾人福利性单位的，将随中标结果同时公告其《残疾人福利性单位声明函》，接受社会监督。</w:t>
      </w:r>
    </w:p>
    <w:p>
      <w:pPr>
        <w:snapToGrid w:val="0"/>
        <w:spacing w:line="360" w:lineRule="auto"/>
        <w:ind w:firstLine="448" w:firstLineChars="200"/>
        <w:rPr>
          <w:b/>
          <w:sz w:val="24"/>
          <w:szCs w:val="21"/>
        </w:rPr>
      </w:pPr>
      <w:r>
        <w:rPr>
          <w:b/>
          <w:kern w:val="0"/>
          <w:sz w:val="24"/>
          <w:szCs w:val="21"/>
        </w:rPr>
        <w:t>若不是残疾人福利性单位，投标文件中可不提供此声明函。</w:t>
      </w:r>
    </w:p>
    <w:p>
      <w:pPr>
        <w:snapToGrid w:val="0"/>
        <w:spacing w:line="360" w:lineRule="auto"/>
        <w:ind w:firstLine="448" w:firstLineChars="200"/>
        <w:rPr>
          <w:color w:val="FF0000"/>
          <w:sz w:val="24"/>
          <w:szCs w:val="21"/>
        </w:rPr>
      </w:pPr>
    </w:p>
    <w:p>
      <w:pPr>
        <w:snapToGrid w:val="0"/>
        <w:spacing w:line="360" w:lineRule="auto"/>
        <w:ind w:firstLine="448" w:firstLineChars="200"/>
        <w:jc w:val="left"/>
        <w:rPr>
          <w:sz w:val="24"/>
          <w:szCs w:val="21"/>
        </w:rPr>
      </w:pPr>
    </w:p>
    <w:p>
      <w:pPr>
        <w:spacing w:line="360" w:lineRule="auto"/>
        <w:ind w:right="84" w:firstLine="224" w:firstLineChars="100"/>
        <w:rPr>
          <w:position w:val="-40"/>
          <w:sz w:val="24"/>
        </w:rPr>
      </w:pPr>
    </w:p>
    <w:p>
      <w:pPr>
        <w:tabs>
          <w:tab w:val="left" w:pos="360"/>
        </w:tabs>
        <w:spacing w:line="360" w:lineRule="auto"/>
        <w:rPr>
          <w:b/>
          <w:sz w:val="24"/>
        </w:rPr>
      </w:pPr>
      <w:r>
        <w:rPr>
          <w:sz w:val="24"/>
        </w:rPr>
        <w:br w:type="page"/>
      </w:r>
      <w:r>
        <w:rPr>
          <w:b/>
          <w:sz w:val="24"/>
        </w:rPr>
        <w:t>附件9</w:t>
      </w:r>
    </w:p>
    <w:p>
      <w:pPr>
        <w:autoSpaceDN w:val="0"/>
        <w:spacing w:line="360" w:lineRule="auto"/>
        <w:jc w:val="center"/>
        <w:rPr>
          <w:b/>
          <w:bCs/>
          <w:sz w:val="24"/>
        </w:rPr>
      </w:pPr>
      <w:r>
        <w:rPr>
          <w:b/>
          <w:bCs/>
          <w:sz w:val="24"/>
        </w:rPr>
        <w:t>政府采购政策情况表</w:t>
      </w:r>
    </w:p>
    <w:p>
      <w:pPr>
        <w:spacing w:line="460" w:lineRule="exact"/>
        <w:jc w:val="center"/>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ind w:firstLine="6944" w:firstLineChars="3100"/>
        <w:rPr>
          <w:sz w:val="24"/>
        </w:rPr>
      </w:pPr>
    </w:p>
    <w:p>
      <w:pPr>
        <w:spacing w:line="460" w:lineRule="exact"/>
        <w:rPr>
          <w:sz w:val="24"/>
        </w:rPr>
      </w:pPr>
      <w:r>
        <w:rPr>
          <w:sz w:val="24"/>
        </w:rPr>
        <w:t>填报要求：</w:t>
      </w:r>
    </w:p>
    <w:p>
      <w:pPr>
        <w:spacing w:line="460" w:lineRule="exact"/>
        <w:rPr>
          <w:sz w:val="24"/>
        </w:rPr>
      </w:pPr>
      <w:r>
        <w:rPr>
          <w:sz w:val="24"/>
        </w:rPr>
        <w:t>1.本表的产品名称、品牌型号、金额应与《开标分项一览表》一致。</w:t>
      </w:r>
    </w:p>
    <w:p>
      <w:pPr>
        <w:spacing w:line="460" w:lineRule="exact"/>
        <w:rPr>
          <w:sz w:val="24"/>
        </w:rPr>
      </w:pPr>
      <w:r>
        <w:rPr>
          <w:sz w:val="24"/>
        </w:rPr>
        <w:t>2.“制造商企业类型”栏填写内容为“微型”、“小型”、“监狱企业”或“残疾人福利性单位”。</w:t>
      </w:r>
    </w:p>
    <w:p>
      <w:pPr>
        <w:spacing w:line="460" w:lineRule="exact"/>
        <w:rPr>
          <w:sz w:val="24"/>
        </w:rPr>
      </w:pPr>
      <w:r>
        <w:rPr>
          <w:sz w:val="24"/>
        </w:rPr>
        <w:t>3. 环境标志产品是指财政部、生态环境部发布现行的《环境标志产品政府采购品目清单》中的产品；节能产品是指财政部和国家发展改革委员会公布现行的《节能产品政府采购品目清单》中的产品。提供相关产品认证证书。</w:t>
      </w:r>
    </w:p>
    <w:p>
      <w:pPr>
        <w:spacing w:line="460" w:lineRule="exact"/>
        <w:rPr>
          <w:sz w:val="24"/>
        </w:rPr>
      </w:pPr>
      <w:r>
        <w:rPr>
          <w:sz w:val="24"/>
        </w:rPr>
        <w:t>4. 请投标人正确填写本表，所填内容将作为评审的依据。其内容或数据应与对应的证明资料相符，如果填写不完整或有误，不再享受上述政策优惠。</w:t>
      </w:r>
    </w:p>
    <w:p>
      <w:pPr>
        <w:spacing w:line="460" w:lineRule="exact"/>
        <w:ind w:firstLine="6720" w:firstLineChars="3000"/>
        <w:rPr>
          <w:sz w:val="24"/>
        </w:rPr>
      </w:pPr>
      <w:r>
        <w:rPr>
          <w:sz w:val="24"/>
        </w:rPr>
        <w:t>单位：元</w:t>
      </w:r>
    </w:p>
    <w:tbl>
      <w:tblPr>
        <w:tblStyle w:val="17"/>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92"/>
        <w:gridCol w:w="1565"/>
        <w:gridCol w:w="1352"/>
        <w:gridCol w:w="1622"/>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556" w:type="pct"/>
            <w:vMerge w:val="restart"/>
            <w:shd w:val="clear" w:color="auto" w:fill="auto"/>
            <w:vAlign w:val="center"/>
          </w:tcPr>
          <w:p>
            <w:pPr>
              <w:pStyle w:val="35"/>
              <w:tabs>
                <w:tab w:val="left" w:pos="1260"/>
              </w:tabs>
              <w:adjustRightInd w:val="0"/>
              <w:snapToGrid w:val="0"/>
              <w:jc w:val="center"/>
              <w:rPr>
                <w:szCs w:val="21"/>
                <w:lang w:val="en-GB"/>
              </w:rPr>
            </w:pPr>
            <w:r>
              <w:rPr>
                <w:szCs w:val="21"/>
                <w:lang w:val="en-GB"/>
              </w:rPr>
              <w:t>环境标志产品</w:t>
            </w:r>
          </w:p>
        </w:tc>
        <w:tc>
          <w:tcPr>
            <w:tcW w:w="886" w:type="pct"/>
            <w:shd w:val="clear" w:color="auto" w:fill="auto"/>
            <w:vAlign w:val="center"/>
          </w:tcPr>
          <w:p>
            <w:pPr>
              <w:pStyle w:val="35"/>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pPr>
              <w:pStyle w:val="35"/>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pPr>
              <w:pStyle w:val="35"/>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pPr>
              <w:pStyle w:val="35"/>
              <w:tabs>
                <w:tab w:val="left" w:pos="1260"/>
              </w:tabs>
              <w:adjustRightInd w:val="0"/>
              <w:snapToGrid w:val="0"/>
              <w:jc w:val="center"/>
              <w:rPr>
                <w:szCs w:val="21"/>
                <w:lang w:val="en-GB"/>
              </w:rPr>
            </w:pPr>
            <w:r>
              <w:rPr>
                <w:szCs w:val="21"/>
                <w:lang w:val="en-GB"/>
              </w:rPr>
              <w:t>环境标志认证证书编号</w:t>
            </w:r>
          </w:p>
        </w:tc>
        <w:tc>
          <w:tcPr>
            <w:tcW w:w="863" w:type="pct"/>
            <w:shd w:val="clear" w:color="auto" w:fill="auto"/>
            <w:vAlign w:val="center"/>
          </w:tcPr>
          <w:p>
            <w:pPr>
              <w:pStyle w:val="35"/>
              <w:tabs>
                <w:tab w:val="left" w:pos="1260"/>
              </w:tabs>
              <w:adjustRightInd w:val="0"/>
              <w:snapToGrid w:val="0"/>
              <w:jc w:val="center"/>
              <w:rPr>
                <w:szCs w:val="21"/>
                <w:lang w:val="en-GB"/>
              </w:rPr>
            </w:pPr>
            <w:r>
              <w:rPr>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vAlign w:val="center"/>
          </w:tcPr>
          <w:p>
            <w:pPr>
              <w:pStyle w:val="35"/>
              <w:tabs>
                <w:tab w:val="left" w:pos="1260"/>
              </w:tabs>
              <w:adjustRightInd w:val="0"/>
              <w:snapToGrid w:val="0"/>
              <w:jc w:val="center"/>
              <w:rPr>
                <w:szCs w:val="21"/>
                <w:lang w:val="en-GB"/>
              </w:rPr>
            </w:pP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vAlign w:val="center"/>
          </w:tcPr>
          <w:p>
            <w:pPr>
              <w:pStyle w:val="35"/>
              <w:tabs>
                <w:tab w:val="left" w:pos="1260"/>
              </w:tabs>
              <w:adjustRightInd w:val="0"/>
              <w:snapToGrid w:val="0"/>
              <w:jc w:val="center"/>
              <w:rPr>
                <w:szCs w:val="21"/>
                <w:lang w:val="en-GB"/>
              </w:rPr>
            </w:pP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3581" w:type="pct"/>
            <w:gridSpan w:val="4"/>
            <w:shd w:val="clear" w:color="auto" w:fill="auto"/>
            <w:vAlign w:val="center"/>
          </w:tcPr>
          <w:p>
            <w:pPr>
              <w:pStyle w:val="35"/>
              <w:tabs>
                <w:tab w:val="left" w:pos="1260"/>
              </w:tabs>
              <w:adjustRightInd w:val="0"/>
              <w:snapToGrid w:val="0"/>
              <w:jc w:val="center"/>
              <w:rPr>
                <w:szCs w:val="21"/>
                <w:lang w:val="en-GB"/>
              </w:rPr>
            </w:pPr>
            <w:r>
              <w:rPr>
                <w:szCs w:val="21"/>
                <w:lang w:val="en-GB"/>
              </w:rPr>
              <w:t>环境标志产品金额合计</w:t>
            </w:r>
          </w:p>
        </w:tc>
        <w:tc>
          <w:tcPr>
            <w:tcW w:w="863" w:type="pct"/>
            <w:shd w:val="clear" w:color="auto" w:fill="auto"/>
            <w:vAlign w:val="center"/>
          </w:tcPr>
          <w:p>
            <w:pPr>
              <w:pStyle w:val="35"/>
              <w:tabs>
                <w:tab w:val="left" w:pos="1260"/>
              </w:tabs>
              <w:adjustRightInd w:val="0"/>
              <w:snapToGrid w:val="0"/>
              <w:jc w:val="center"/>
              <w:rPr>
                <w:b/>
                <w:szCs w:val="21"/>
                <w:lang w:val="en-GB"/>
              </w:rPr>
            </w:pPr>
            <w:r>
              <w:rPr>
                <w:b/>
                <w:szCs w:val="21"/>
                <w:u w:val="single"/>
                <w:lang w:val="en-GB"/>
              </w:rPr>
              <w:t xml:space="preserve">     </w:t>
            </w:r>
            <w:r>
              <w:rPr>
                <w:b/>
                <w:szCs w:val="21"/>
                <w:lang w:val="en-G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3581" w:type="pct"/>
            <w:gridSpan w:val="4"/>
            <w:shd w:val="clear" w:color="auto" w:fill="auto"/>
            <w:vAlign w:val="center"/>
          </w:tcPr>
          <w:p>
            <w:pPr>
              <w:pStyle w:val="35"/>
              <w:tabs>
                <w:tab w:val="left" w:pos="1260"/>
              </w:tabs>
              <w:adjustRightInd w:val="0"/>
              <w:snapToGrid w:val="0"/>
              <w:jc w:val="center"/>
              <w:rPr>
                <w:szCs w:val="21"/>
                <w:lang w:val="en-GB"/>
              </w:rPr>
            </w:pPr>
            <w:r>
              <w:rPr>
                <w:szCs w:val="21"/>
                <w:lang w:val="en-GB"/>
              </w:rPr>
              <w:t>比重（环境标志产品金额/所投包投标总价）*100%</w:t>
            </w:r>
          </w:p>
        </w:tc>
        <w:tc>
          <w:tcPr>
            <w:tcW w:w="863" w:type="pct"/>
            <w:shd w:val="clear" w:color="auto" w:fill="auto"/>
            <w:vAlign w:val="center"/>
          </w:tcPr>
          <w:p>
            <w:pPr>
              <w:pStyle w:val="35"/>
              <w:tabs>
                <w:tab w:val="left" w:pos="1260"/>
              </w:tabs>
              <w:adjustRightInd w:val="0"/>
              <w:snapToGrid w:val="0"/>
              <w:jc w:val="center"/>
              <w:rPr>
                <w:b/>
                <w:szCs w:val="21"/>
                <w:lang w:val="en-GB"/>
              </w:rPr>
            </w:pPr>
            <w:r>
              <w:rPr>
                <w:b/>
                <w:szCs w:val="21"/>
                <w:u w:val="single"/>
                <w:lang w:val="en-GB"/>
              </w:rPr>
              <w:t xml:space="preserve">     </w:t>
            </w:r>
            <w:r>
              <w:rPr>
                <w:b/>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4444" w:type="pct"/>
            <w:gridSpan w:val="5"/>
            <w:shd w:val="clear" w:color="auto" w:fill="auto"/>
            <w:vAlign w:val="center"/>
          </w:tcPr>
          <w:p>
            <w:pPr>
              <w:pStyle w:val="35"/>
              <w:tabs>
                <w:tab w:val="left" w:pos="1260"/>
              </w:tabs>
              <w:adjustRightInd w:val="0"/>
              <w:snapToGrid w:val="0"/>
              <w:jc w:val="center"/>
              <w:rPr>
                <w:b/>
                <w:szCs w:val="21"/>
                <w:lang w:val="en-GB"/>
              </w:rPr>
            </w:pPr>
            <w:r>
              <w:rPr>
                <w:szCs w:val="21"/>
                <w:lang w:val="en-GB"/>
              </w:rPr>
              <w:t>环境标志产品</w:t>
            </w: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restart"/>
            <w:shd w:val="clear" w:color="auto" w:fill="auto"/>
            <w:vAlign w:val="center"/>
          </w:tcPr>
          <w:p>
            <w:pPr>
              <w:pStyle w:val="35"/>
              <w:tabs>
                <w:tab w:val="left" w:pos="1260"/>
              </w:tabs>
              <w:adjustRightInd w:val="0"/>
              <w:snapToGrid w:val="0"/>
              <w:jc w:val="center"/>
              <w:rPr>
                <w:szCs w:val="21"/>
                <w:lang w:val="en-GB"/>
              </w:rPr>
            </w:pPr>
            <w:r>
              <w:rPr>
                <w:szCs w:val="21"/>
                <w:lang w:val="en-GB"/>
              </w:rPr>
              <w:t>节能产品（非强制节能产品）</w:t>
            </w:r>
          </w:p>
        </w:tc>
        <w:tc>
          <w:tcPr>
            <w:tcW w:w="886" w:type="pct"/>
            <w:shd w:val="clear" w:color="auto" w:fill="auto"/>
            <w:vAlign w:val="center"/>
          </w:tcPr>
          <w:p>
            <w:pPr>
              <w:pStyle w:val="35"/>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pPr>
              <w:pStyle w:val="35"/>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pPr>
              <w:pStyle w:val="35"/>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pPr>
              <w:pStyle w:val="35"/>
              <w:tabs>
                <w:tab w:val="left" w:pos="1260"/>
              </w:tabs>
              <w:adjustRightInd w:val="0"/>
              <w:snapToGrid w:val="0"/>
              <w:jc w:val="center"/>
              <w:rPr>
                <w:szCs w:val="21"/>
                <w:lang w:val="en-GB"/>
              </w:rPr>
            </w:pPr>
            <w:r>
              <w:rPr>
                <w:szCs w:val="21"/>
                <w:lang w:val="en-GB"/>
              </w:rPr>
              <w:t>节能认证证书编号</w:t>
            </w:r>
          </w:p>
        </w:tc>
        <w:tc>
          <w:tcPr>
            <w:tcW w:w="863" w:type="pct"/>
            <w:shd w:val="clear" w:color="auto" w:fill="auto"/>
            <w:vAlign w:val="center"/>
          </w:tcPr>
          <w:p>
            <w:pPr>
              <w:pStyle w:val="35"/>
              <w:tabs>
                <w:tab w:val="left" w:pos="1260"/>
              </w:tabs>
              <w:adjustRightInd w:val="0"/>
              <w:snapToGrid w:val="0"/>
              <w:jc w:val="center"/>
              <w:rPr>
                <w:szCs w:val="21"/>
                <w:lang w:val="en-GB"/>
              </w:rPr>
            </w:pPr>
            <w:r>
              <w:rPr>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vAlign w:val="center"/>
          </w:tcPr>
          <w:p>
            <w:pPr>
              <w:pStyle w:val="35"/>
              <w:tabs>
                <w:tab w:val="left" w:pos="1260"/>
              </w:tabs>
              <w:adjustRightInd w:val="0"/>
              <w:snapToGrid w:val="0"/>
              <w:jc w:val="center"/>
              <w:rPr>
                <w:szCs w:val="21"/>
                <w:lang w:val="en-GB"/>
              </w:rPr>
            </w:pP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vAlign w:val="center"/>
          </w:tcPr>
          <w:p>
            <w:pPr>
              <w:pStyle w:val="35"/>
              <w:tabs>
                <w:tab w:val="left" w:pos="1260"/>
              </w:tabs>
              <w:adjustRightInd w:val="0"/>
              <w:snapToGrid w:val="0"/>
              <w:jc w:val="center"/>
              <w:rPr>
                <w:szCs w:val="21"/>
                <w:lang w:val="en-GB"/>
              </w:rPr>
            </w:pP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3581" w:type="pct"/>
            <w:gridSpan w:val="4"/>
            <w:shd w:val="clear" w:color="auto" w:fill="auto"/>
            <w:vAlign w:val="center"/>
          </w:tcPr>
          <w:p>
            <w:pPr>
              <w:pStyle w:val="35"/>
              <w:tabs>
                <w:tab w:val="left" w:pos="1260"/>
              </w:tabs>
              <w:adjustRightInd w:val="0"/>
              <w:snapToGrid w:val="0"/>
              <w:jc w:val="center"/>
              <w:rPr>
                <w:szCs w:val="21"/>
                <w:lang w:val="en-GB"/>
              </w:rPr>
            </w:pPr>
            <w:r>
              <w:rPr>
                <w:szCs w:val="21"/>
                <w:lang w:val="en-GB"/>
              </w:rPr>
              <w:t>节能产品（不包括强制节能产品）金额合计</w:t>
            </w:r>
          </w:p>
        </w:tc>
        <w:tc>
          <w:tcPr>
            <w:tcW w:w="863" w:type="pct"/>
            <w:shd w:val="clear" w:color="auto" w:fill="auto"/>
            <w:vAlign w:val="center"/>
          </w:tcPr>
          <w:p>
            <w:pPr>
              <w:pStyle w:val="35"/>
              <w:tabs>
                <w:tab w:val="left" w:pos="1260"/>
              </w:tabs>
              <w:adjustRightInd w:val="0"/>
              <w:snapToGrid w:val="0"/>
              <w:jc w:val="center"/>
              <w:rPr>
                <w:b/>
                <w:szCs w:val="21"/>
                <w:lang w:val="en-GB"/>
              </w:rPr>
            </w:pPr>
            <w:r>
              <w:rPr>
                <w:b/>
                <w:szCs w:val="21"/>
                <w:u w:val="single"/>
                <w:lang w:val="en-GB"/>
              </w:rPr>
              <w:t xml:space="preserve">     </w:t>
            </w:r>
            <w:r>
              <w:rPr>
                <w:b/>
                <w:szCs w:val="21"/>
                <w:lang w:val="en-G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3581" w:type="pct"/>
            <w:gridSpan w:val="4"/>
            <w:shd w:val="clear" w:color="auto" w:fill="auto"/>
            <w:vAlign w:val="center"/>
          </w:tcPr>
          <w:p>
            <w:pPr>
              <w:pStyle w:val="35"/>
              <w:tabs>
                <w:tab w:val="left" w:pos="1260"/>
              </w:tabs>
              <w:adjustRightInd w:val="0"/>
              <w:snapToGrid w:val="0"/>
              <w:jc w:val="center"/>
              <w:rPr>
                <w:szCs w:val="21"/>
                <w:lang w:val="en-GB"/>
              </w:rPr>
            </w:pPr>
            <w:r>
              <w:rPr>
                <w:szCs w:val="21"/>
                <w:lang w:val="en-GB"/>
              </w:rPr>
              <w:t>比重（节能产品金额/投标所投包总价）*100%</w:t>
            </w:r>
          </w:p>
        </w:tc>
        <w:tc>
          <w:tcPr>
            <w:tcW w:w="863" w:type="pct"/>
            <w:shd w:val="clear" w:color="auto" w:fill="auto"/>
            <w:vAlign w:val="center"/>
          </w:tcPr>
          <w:p>
            <w:pPr>
              <w:pStyle w:val="35"/>
              <w:tabs>
                <w:tab w:val="left" w:pos="1260"/>
              </w:tabs>
              <w:adjustRightInd w:val="0"/>
              <w:snapToGrid w:val="0"/>
              <w:jc w:val="center"/>
              <w:rPr>
                <w:b/>
                <w:szCs w:val="21"/>
                <w:lang w:val="en-GB"/>
              </w:rPr>
            </w:pPr>
            <w:r>
              <w:rPr>
                <w:b/>
                <w:szCs w:val="21"/>
                <w:u w:val="single"/>
                <w:lang w:val="en-GB"/>
              </w:rPr>
              <w:t xml:space="preserve">     </w:t>
            </w:r>
            <w:r>
              <w:rPr>
                <w:b/>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4444" w:type="pct"/>
            <w:gridSpan w:val="5"/>
            <w:shd w:val="clear" w:color="auto" w:fill="auto"/>
            <w:vAlign w:val="center"/>
          </w:tcPr>
          <w:p>
            <w:pPr>
              <w:pStyle w:val="35"/>
              <w:tabs>
                <w:tab w:val="left" w:pos="1260"/>
              </w:tabs>
              <w:adjustRightInd w:val="0"/>
              <w:snapToGrid w:val="0"/>
              <w:jc w:val="center"/>
              <w:rPr>
                <w:b/>
                <w:szCs w:val="21"/>
                <w:lang w:val="en-GB"/>
              </w:rPr>
            </w:pPr>
            <w:r>
              <w:rPr>
                <w:szCs w:val="21"/>
                <w:lang w:val="en-GB"/>
              </w:rPr>
              <w:t>节能产品</w:t>
            </w: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restart"/>
            <w:shd w:val="clear" w:color="auto" w:fill="auto"/>
            <w:vAlign w:val="center"/>
          </w:tcPr>
          <w:p>
            <w:pPr>
              <w:pStyle w:val="35"/>
              <w:tabs>
                <w:tab w:val="left" w:pos="1260"/>
              </w:tabs>
              <w:adjustRightInd w:val="0"/>
              <w:snapToGrid w:val="0"/>
              <w:jc w:val="center"/>
              <w:rPr>
                <w:szCs w:val="21"/>
                <w:lang w:val="en-GB"/>
              </w:rPr>
            </w:pPr>
            <w:r>
              <w:rPr>
                <w:szCs w:val="21"/>
                <w:lang w:val="en-GB"/>
              </w:rPr>
              <w:t>中小企业、监狱企业、残疾人福利性单位扶持政策</w:t>
            </w:r>
          </w:p>
        </w:tc>
        <w:tc>
          <w:tcPr>
            <w:tcW w:w="4444" w:type="pct"/>
            <w:gridSpan w:val="5"/>
            <w:shd w:val="clear" w:color="auto" w:fill="auto"/>
            <w:vAlign w:val="center"/>
          </w:tcPr>
          <w:p>
            <w:pPr>
              <w:pStyle w:val="35"/>
              <w:tabs>
                <w:tab w:val="left" w:pos="1260"/>
              </w:tabs>
              <w:adjustRightInd w:val="0"/>
              <w:snapToGrid w:val="0"/>
              <w:rPr>
                <w:b/>
                <w:szCs w:val="21"/>
              </w:rPr>
            </w:pPr>
            <w:r>
              <w:rPr>
                <w:b/>
                <w:szCs w:val="21"/>
              </w:rPr>
              <w:t>1.所投货物中有大型企业制造的，不享受中小企业扶持政策，无需填写以下内容</w:t>
            </w:r>
          </w:p>
          <w:p>
            <w:pPr>
              <w:pStyle w:val="35"/>
              <w:tabs>
                <w:tab w:val="left" w:pos="1260"/>
              </w:tabs>
              <w:adjustRightInd w:val="0"/>
              <w:snapToGrid w:val="0"/>
              <w:rPr>
                <w:b/>
                <w:szCs w:val="21"/>
              </w:rPr>
            </w:pPr>
            <w:r>
              <w:rPr>
                <w:b/>
                <w:szCs w:val="21"/>
              </w:rPr>
              <w:t>2.</w:t>
            </w:r>
            <w:r>
              <w:rPr>
                <w:szCs w:val="21"/>
              </w:rPr>
              <w:t xml:space="preserve"> </w:t>
            </w:r>
            <w:r>
              <w:rPr>
                <w:b/>
                <w:szCs w:val="21"/>
              </w:rPr>
              <w:t>所投货物中无大型企业制造的，只填写小型、微型企业制造的货物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r>
              <w:rPr>
                <w:szCs w:val="21"/>
                <w:lang w:val="en-GB"/>
              </w:rPr>
              <w:t>产品名称</w:t>
            </w:r>
          </w:p>
        </w:tc>
        <w:tc>
          <w:tcPr>
            <w:tcW w:w="929" w:type="pct"/>
            <w:shd w:val="clear" w:color="auto" w:fill="auto"/>
            <w:vAlign w:val="center"/>
          </w:tcPr>
          <w:p>
            <w:pPr>
              <w:pStyle w:val="35"/>
              <w:tabs>
                <w:tab w:val="left" w:pos="1260"/>
              </w:tabs>
              <w:adjustRightInd w:val="0"/>
              <w:snapToGrid w:val="0"/>
              <w:jc w:val="center"/>
              <w:rPr>
                <w:szCs w:val="21"/>
                <w:lang w:val="en-GB"/>
              </w:rPr>
            </w:pPr>
            <w:r>
              <w:rPr>
                <w:szCs w:val="21"/>
                <w:lang w:val="en-GB"/>
              </w:rPr>
              <w:t>品牌型号</w:t>
            </w:r>
          </w:p>
        </w:tc>
        <w:tc>
          <w:tcPr>
            <w:tcW w:w="803" w:type="pct"/>
            <w:shd w:val="clear" w:color="auto" w:fill="auto"/>
            <w:vAlign w:val="center"/>
          </w:tcPr>
          <w:p>
            <w:pPr>
              <w:pStyle w:val="35"/>
              <w:tabs>
                <w:tab w:val="left" w:pos="1260"/>
              </w:tabs>
              <w:adjustRightInd w:val="0"/>
              <w:snapToGrid w:val="0"/>
              <w:jc w:val="center"/>
              <w:rPr>
                <w:szCs w:val="21"/>
                <w:lang w:val="en-GB"/>
              </w:rPr>
            </w:pPr>
            <w:r>
              <w:rPr>
                <w:szCs w:val="21"/>
                <w:lang w:val="en-GB"/>
              </w:rPr>
              <w:t>制造商</w:t>
            </w:r>
          </w:p>
        </w:tc>
        <w:tc>
          <w:tcPr>
            <w:tcW w:w="963" w:type="pct"/>
            <w:shd w:val="clear" w:color="auto" w:fill="auto"/>
            <w:vAlign w:val="center"/>
          </w:tcPr>
          <w:p>
            <w:pPr>
              <w:pStyle w:val="35"/>
              <w:tabs>
                <w:tab w:val="left" w:pos="1260"/>
              </w:tabs>
              <w:adjustRightInd w:val="0"/>
              <w:snapToGrid w:val="0"/>
              <w:jc w:val="center"/>
              <w:rPr>
                <w:szCs w:val="21"/>
                <w:lang w:val="en-GB"/>
              </w:rPr>
            </w:pPr>
            <w:r>
              <w:rPr>
                <w:szCs w:val="21"/>
                <w:lang w:val="en-GB"/>
              </w:rPr>
              <w:t>制造商</w:t>
            </w:r>
          </w:p>
          <w:p>
            <w:pPr>
              <w:pStyle w:val="35"/>
              <w:tabs>
                <w:tab w:val="left" w:pos="1260"/>
              </w:tabs>
              <w:adjustRightInd w:val="0"/>
              <w:snapToGrid w:val="0"/>
              <w:jc w:val="center"/>
              <w:rPr>
                <w:szCs w:val="21"/>
                <w:lang w:val="en-GB"/>
              </w:rPr>
            </w:pPr>
            <w:r>
              <w:rPr>
                <w:szCs w:val="21"/>
                <w:lang w:val="en-GB"/>
              </w:rPr>
              <w:t>企业类型</w:t>
            </w:r>
          </w:p>
        </w:tc>
        <w:tc>
          <w:tcPr>
            <w:tcW w:w="863" w:type="pct"/>
            <w:shd w:val="clear" w:color="auto" w:fill="auto"/>
            <w:vAlign w:val="center"/>
          </w:tcPr>
          <w:p>
            <w:pPr>
              <w:pStyle w:val="35"/>
              <w:tabs>
                <w:tab w:val="left" w:pos="1260"/>
              </w:tabs>
              <w:adjustRightInd w:val="0"/>
              <w:snapToGrid w:val="0"/>
              <w:jc w:val="center"/>
              <w:rPr>
                <w:szCs w:val="21"/>
                <w:lang w:val="en-GB"/>
              </w:rPr>
            </w:pPr>
            <w:r>
              <w:rPr>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tcPr>
          <w:p>
            <w:pPr>
              <w:adjustRightInd w:val="0"/>
              <w:snapToGrid w:val="0"/>
              <w:rPr>
                <w:szCs w:val="21"/>
              </w:rPr>
            </w:pPr>
            <w:r>
              <w:rPr>
                <w:szCs w:val="21"/>
                <w:lang w:val="en-GB"/>
              </w:rPr>
              <w:t>只填写小型/微型/监狱/残疾人福利性单位</w:t>
            </w: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tcPr>
          <w:p>
            <w:pPr>
              <w:adjustRightInd w:val="0"/>
              <w:snapToGrid w:val="0"/>
              <w:rPr>
                <w:szCs w:val="21"/>
              </w:rPr>
            </w:pPr>
            <w:r>
              <w:rPr>
                <w:szCs w:val="21"/>
                <w:lang w:val="en-GB"/>
              </w:rPr>
              <w:t>只填写小型/微型/监狱/残疾人福利性单位</w:t>
            </w: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tcPr>
          <w:p>
            <w:pPr>
              <w:adjustRightInd w:val="0"/>
              <w:snapToGrid w:val="0"/>
              <w:rPr>
                <w:szCs w:val="21"/>
              </w:rPr>
            </w:pPr>
            <w:r>
              <w:rPr>
                <w:szCs w:val="21"/>
                <w:lang w:val="en-GB"/>
              </w:rPr>
              <w:t>只填写小型/微型/监狱/残疾人福利性单位</w:t>
            </w: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tcPr>
          <w:p>
            <w:pPr>
              <w:adjustRightInd w:val="0"/>
              <w:snapToGrid w:val="0"/>
              <w:rPr>
                <w:szCs w:val="21"/>
              </w:rPr>
            </w:pPr>
            <w:r>
              <w:rPr>
                <w:szCs w:val="21"/>
                <w:lang w:val="en-GB"/>
              </w:rPr>
              <w:t>只填写小型/微型/监狱/残疾人福利性单位</w:t>
            </w: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vAlign w:val="center"/>
          </w:tcPr>
          <w:p>
            <w:pPr>
              <w:pStyle w:val="35"/>
              <w:tabs>
                <w:tab w:val="left" w:pos="1260"/>
              </w:tabs>
              <w:adjustRightInd w:val="0"/>
              <w:snapToGrid w:val="0"/>
              <w:jc w:val="center"/>
              <w:rPr>
                <w:szCs w:val="21"/>
                <w:lang w:val="en-GB"/>
              </w:rPr>
            </w:pP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886" w:type="pct"/>
            <w:shd w:val="clear" w:color="auto" w:fill="auto"/>
            <w:vAlign w:val="center"/>
          </w:tcPr>
          <w:p>
            <w:pPr>
              <w:pStyle w:val="35"/>
              <w:tabs>
                <w:tab w:val="left" w:pos="1260"/>
              </w:tabs>
              <w:adjustRightInd w:val="0"/>
              <w:snapToGrid w:val="0"/>
              <w:jc w:val="center"/>
              <w:rPr>
                <w:szCs w:val="21"/>
                <w:lang w:val="en-GB"/>
              </w:rPr>
            </w:pPr>
          </w:p>
        </w:tc>
        <w:tc>
          <w:tcPr>
            <w:tcW w:w="929" w:type="pct"/>
            <w:shd w:val="clear" w:color="auto" w:fill="auto"/>
            <w:vAlign w:val="center"/>
          </w:tcPr>
          <w:p>
            <w:pPr>
              <w:pStyle w:val="35"/>
              <w:tabs>
                <w:tab w:val="left" w:pos="1260"/>
              </w:tabs>
              <w:adjustRightInd w:val="0"/>
              <w:snapToGrid w:val="0"/>
              <w:jc w:val="center"/>
              <w:rPr>
                <w:szCs w:val="21"/>
                <w:lang w:val="en-GB"/>
              </w:rPr>
            </w:pPr>
          </w:p>
        </w:tc>
        <w:tc>
          <w:tcPr>
            <w:tcW w:w="803" w:type="pct"/>
            <w:shd w:val="clear" w:color="auto" w:fill="auto"/>
            <w:vAlign w:val="center"/>
          </w:tcPr>
          <w:p>
            <w:pPr>
              <w:pStyle w:val="35"/>
              <w:tabs>
                <w:tab w:val="left" w:pos="1260"/>
              </w:tabs>
              <w:adjustRightInd w:val="0"/>
              <w:snapToGrid w:val="0"/>
              <w:jc w:val="center"/>
              <w:rPr>
                <w:szCs w:val="21"/>
                <w:lang w:val="en-GB"/>
              </w:rPr>
            </w:pPr>
          </w:p>
        </w:tc>
        <w:tc>
          <w:tcPr>
            <w:tcW w:w="963" w:type="pct"/>
            <w:shd w:val="clear" w:color="auto" w:fill="auto"/>
            <w:vAlign w:val="center"/>
          </w:tcPr>
          <w:p>
            <w:pPr>
              <w:pStyle w:val="35"/>
              <w:tabs>
                <w:tab w:val="left" w:pos="1260"/>
              </w:tabs>
              <w:adjustRightInd w:val="0"/>
              <w:snapToGrid w:val="0"/>
              <w:jc w:val="center"/>
              <w:rPr>
                <w:szCs w:val="21"/>
                <w:lang w:val="en-GB"/>
              </w:rPr>
            </w:pPr>
          </w:p>
        </w:tc>
        <w:tc>
          <w:tcPr>
            <w:tcW w:w="863" w:type="pct"/>
            <w:shd w:val="clear" w:color="auto" w:fill="auto"/>
            <w:vAlign w:val="center"/>
          </w:tcPr>
          <w:p>
            <w:pPr>
              <w:pStyle w:val="35"/>
              <w:tabs>
                <w:tab w:val="left" w:pos="1260"/>
              </w:tabs>
              <w:adjustRightInd w:val="0"/>
              <w:snapToGrid w:val="0"/>
              <w:jc w:val="center"/>
              <w:rPr>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3581" w:type="pct"/>
            <w:gridSpan w:val="4"/>
            <w:shd w:val="clear" w:color="auto" w:fill="auto"/>
            <w:vAlign w:val="center"/>
          </w:tcPr>
          <w:p>
            <w:pPr>
              <w:pStyle w:val="35"/>
              <w:tabs>
                <w:tab w:val="left" w:pos="1260"/>
              </w:tabs>
              <w:adjustRightInd w:val="0"/>
              <w:snapToGrid w:val="0"/>
              <w:jc w:val="center"/>
              <w:rPr>
                <w:szCs w:val="21"/>
                <w:lang w:val="en-GB"/>
              </w:rPr>
            </w:pPr>
            <w:r>
              <w:rPr>
                <w:szCs w:val="21"/>
              </w:rPr>
              <w:t>小微企业（含监狱企业、残疾人福利性单位）制造的货物</w:t>
            </w:r>
            <w:r>
              <w:rPr>
                <w:szCs w:val="21"/>
                <w:lang w:val="en-GB"/>
              </w:rPr>
              <w:t>金额合计</w:t>
            </w:r>
          </w:p>
        </w:tc>
        <w:tc>
          <w:tcPr>
            <w:tcW w:w="863" w:type="pct"/>
            <w:shd w:val="clear" w:color="auto" w:fill="auto"/>
            <w:vAlign w:val="center"/>
          </w:tcPr>
          <w:p>
            <w:pPr>
              <w:pStyle w:val="35"/>
              <w:tabs>
                <w:tab w:val="left" w:pos="1260"/>
              </w:tabs>
              <w:adjustRightInd w:val="0"/>
              <w:snapToGrid w:val="0"/>
              <w:jc w:val="center"/>
              <w:rPr>
                <w:b/>
                <w:szCs w:val="21"/>
                <w:lang w:val="en-GB"/>
              </w:rPr>
            </w:pPr>
            <w:r>
              <w:rPr>
                <w:b/>
                <w:szCs w:val="21"/>
                <w:u w:val="single"/>
                <w:lang w:val="en-GB"/>
              </w:rPr>
              <w:t xml:space="preserve">     </w:t>
            </w:r>
            <w:r>
              <w:rPr>
                <w:b/>
                <w:szCs w:val="21"/>
                <w:lang w:val="en-G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56" w:type="pct"/>
            <w:vMerge w:val="continue"/>
            <w:shd w:val="clear" w:color="auto" w:fill="auto"/>
            <w:vAlign w:val="center"/>
          </w:tcPr>
          <w:p>
            <w:pPr>
              <w:pStyle w:val="35"/>
              <w:tabs>
                <w:tab w:val="left" w:pos="1260"/>
              </w:tabs>
              <w:adjustRightInd w:val="0"/>
              <w:snapToGrid w:val="0"/>
              <w:jc w:val="center"/>
              <w:rPr>
                <w:szCs w:val="21"/>
                <w:lang w:val="en-GB"/>
              </w:rPr>
            </w:pPr>
          </w:p>
        </w:tc>
        <w:tc>
          <w:tcPr>
            <w:tcW w:w="3581" w:type="pct"/>
            <w:gridSpan w:val="4"/>
            <w:shd w:val="clear" w:color="auto" w:fill="auto"/>
            <w:vAlign w:val="center"/>
          </w:tcPr>
          <w:p>
            <w:pPr>
              <w:pStyle w:val="35"/>
              <w:tabs>
                <w:tab w:val="left" w:pos="1260"/>
              </w:tabs>
              <w:adjustRightInd w:val="0"/>
              <w:snapToGrid w:val="0"/>
              <w:jc w:val="center"/>
              <w:rPr>
                <w:szCs w:val="21"/>
                <w:lang w:val="en-GB"/>
              </w:rPr>
            </w:pPr>
            <w:r>
              <w:rPr>
                <w:szCs w:val="21"/>
                <w:lang w:val="en-GB"/>
              </w:rPr>
              <w:t>比重（小微企业（含监狱企业、残疾人福利性单位）制造的货物金额/所投包投标总价）*100%</w:t>
            </w:r>
          </w:p>
        </w:tc>
        <w:tc>
          <w:tcPr>
            <w:tcW w:w="863" w:type="pct"/>
            <w:shd w:val="clear" w:color="auto" w:fill="auto"/>
            <w:vAlign w:val="center"/>
          </w:tcPr>
          <w:p>
            <w:pPr>
              <w:pStyle w:val="35"/>
              <w:tabs>
                <w:tab w:val="left" w:pos="1260"/>
              </w:tabs>
              <w:adjustRightInd w:val="0"/>
              <w:snapToGrid w:val="0"/>
              <w:jc w:val="center"/>
              <w:rPr>
                <w:b/>
                <w:szCs w:val="21"/>
                <w:lang w:val="en-GB"/>
              </w:rPr>
            </w:pPr>
            <w:r>
              <w:rPr>
                <w:b/>
                <w:szCs w:val="21"/>
                <w:u w:val="single"/>
                <w:lang w:val="en-GB"/>
              </w:rPr>
              <w:t xml:space="preserve">     </w:t>
            </w:r>
            <w:r>
              <w:rPr>
                <w:b/>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shd w:val="clear" w:color="auto" w:fill="auto"/>
            <w:vAlign w:val="center"/>
          </w:tcPr>
          <w:p>
            <w:pPr>
              <w:pStyle w:val="35"/>
              <w:tabs>
                <w:tab w:val="left" w:pos="1260"/>
              </w:tabs>
              <w:adjustRightInd w:val="0"/>
              <w:snapToGrid w:val="0"/>
              <w:jc w:val="center"/>
              <w:rPr>
                <w:szCs w:val="21"/>
                <w:lang w:val="en-GB"/>
              </w:rPr>
            </w:pPr>
            <w:r>
              <w:rPr>
                <w:szCs w:val="21"/>
                <w:lang w:val="en-GB"/>
              </w:rPr>
              <w:t>中小企业</w:t>
            </w:r>
          </w:p>
        </w:tc>
        <w:tc>
          <w:tcPr>
            <w:tcW w:w="4444" w:type="pct"/>
            <w:gridSpan w:val="5"/>
            <w:shd w:val="clear" w:color="auto" w:fill="auto"/>
            <w:vAlign w:val="center"/>
          </w:tcPr>
          <w:p>
            <w:pPr>
              <w:pStyle w:val="35"/>
              <w:tabs>
                <w:tab w:val="left" w:pos="1260"/>
              </w:tabs>
              <w:adjustRightInd w:val="0"/>
              <w:snapToGrid w:val="0"/>
              <w:rPr>
                <w:szCs w:val="21"/>
              </w:rPr>
            </w:pPr>
            <w:r>
              <w:rPr>
                <w:szCs w:val="21"/>
              </w:rPr>
              <w:t>如属于中小企业，须提供《中小企业声明函》。</w:t>
            </w:r>
          </w:p>
          <w:p>
            <w:pPr>
              <w:pStyle w:val="35"/>
              <w:tabs>
                <w:tab w:val="left" w:pos="1260"/>
              </w:tabs>
              <w:adjustRightInd w:val="0"/>
              <w:snapToGrid w:val="0"/>
              <w:rPr>
                <w:szCs w:val="21"/>
                <w:lang w:val="en-GB"/>
              </w:rPr>
            </w:pPr>
            <w:r>
              <w:rPr>
                <w:szCs w:val="21"/>
              </w:rPr>
              <w:t>该声明函见投标文件第</w:t>
            </w:r>
            <w:r>
              <w:rPr>
                <w:szCs w:val="21"/>
                <w:u w:val="single"/>
              </w:rPr>
              <w:t xml:space="preserve">   </w:t>
            </w:r>
            <w:r>
              <w:rPr>
                <w:szCs w:val="21"/>
              </w:rPr>
              <w:t>至</w:t>
            </w:r>
            <w:r>
              <w:rPr>
                <w:szCs w:val="21"/>
                <w:u w:val="single"/>
              </w:rPr>
              <w:t xml:space="preserve">   </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shd w:val="clear" w:color="auto" w:fill="auto"/>
            <w:vAlign w:val="center"/>
          </w:tcPr>
          <w:p>
            <w:pPr>
              <w:pStyle w:val="35"/>
              <w:tabs>
                <w:tab w:val="left" w:pos="1260"/>
              </w:tabs>
              <w:adjustRightInd w:val="0"/>
              <w:snapToGrid w:val="0"/>
              <w:jc w:val="center"/>
              <w:rPr>
                <w:szCs w:val="21"/>
                <w:lang w:val="en-GB"/>
              </w:rPr>
            </w:pPr>
            <w:r>
              <w:rPr>
                <w:szCs w:val="21"/>
                <w:lang w:val="en-GB"/>
              </w:rPr>
              <w:t>监狱企业</w:t>
            </w:r>
          </w:p>
        </w:tc>
        <w:tc>
          <w:tcPr>
            <w:tcW w:w="4444" w:type="pct"/>
            <w:gridSpan w:val="5"/>
            <w:shd w:val="clear" w:color="auto" w:fill="auto"/>
            <w:vAlign w:val="center"/>
          </w:tcPr>
          <w:p>
            <w:pPr>
              <w:pStyle w:val="35"/>
              <w:tabs>
                <w:tab w:val="left" w:pos="1260"/>
              </w:tabs>
              <w:adjustRightInd w:val="0"/>
              <w:snapToGrid w:val="0"/>
              <w:rPr>
                <w:szCs w:val="21"/>
              </w:rPr>
            </w:pPr>
            <w:r>
              <w:rPr>
                <w:szCs w:val="21"/>
              </w:rPr>
              <w:t>如属于监狱企业，须提供由省级以上监狱管理局、戒毒管理局(含新疆生产建设兵团)出具的属于监狱企业的证明文件。</w:t>
            </w:r>
          </w:p>
          <w:p>
            <w:pPr>
              <w:pStyle w:val="35"/>
              <w:tabs>
                <w:tab w:val="left" w:pos="1260"/>
              </w:tabs>
              <w:adjustRightInd w:val="0"/>
              <w:snapToGrid w:val="0"/>
              <w:rPr>
                <w:szCs w:val="21"/>
                <w:lang w:val="en-GB"/>
              </w:rPr>
            </w:pPr>
            <w:r>
              <w:rPr>
                <w:szCs w:val="21"/>
              </w:rPr>
              <w:t>证明材料见投标文件第</w:t>
            </w:r>
            <w:r>
              <w:rPr>
                <w:szCs w:val="21"/>
                <w:u w:val="single"/>
              </w:rPr>
              <w:t xml:space="preserve">   </w:t>
            </w:r>
            <w:r>
              <w:rPr>
                <w:szCs w:val="21"/>
              </w:rPr>
              <w:t>至</w:t>
            </w:r>
            <w:r>
              <w:rPr>
                <w:szCs w:val="21"/>
                <w:u w:val="single"/>
              </w:rPr>
              <w:t xml:space="preserve">   </w:t>
            </w:r>
            <w:r>
              <w:rPr>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56" w:type="pct"/>
            <w:shd w:val="clear" w:color="auto" w:fill="auto"/>
            <w:vAlign w:val="center"/>
          </w:tcPr>
          <w:p>
            <w:pPr>
              <w:pStyle w:val="35"/>
              <w:tabs>
                <w:tab w:val="left" w:pos="1260"/>
              </w:tabs>
              <w:adjustRightInd w:val="0"/>
              <w:snapToGrid w:val="0"/>
              <w:jc w:val="center"/>
              <w:rPr>
                <w:szCs w:val="21"/>
                <w:lang w:val="en-GB"/>
              </w:rPr>
            </w:pPr>
            <w:r>
              <w:rPr>
                <w:szCs w:val="21"/>
                <w:lang w:val="en-GB"/>
              </w:rPr>
              <w:t>残疾人福利性单位</w:t>
            </w:r>
          </w:p>
        </w:tc>
        <w:tc>
          <w:tcPr>
            <w:tcW w:w="4444" w:type="pct"/>
            <w:gridSpan w:val="5"/>
            <w:shd w:val="clear" w:color="auto" w:fill="auto"/>
            <w:vAlign w:val="center"/>
          </w:tcPr>
          <w:p>
            <w:pPr>
              <w:pStyle w:val="35"/>
              <w:tabs>
                <w:tab w:val="left" w:pos="1260"/>
              </w:tabs>
              <w:adjustRightInd w:val="0"/>
              <w:snapToGrid w:val="0"/>
              <w:rPr>
                <w:szCs w:val="21"/>
              </w:rPr>
            </w:pPr>
            <w:r>
              <w:rPr>
                <w:szCs w:val="21"/>
              </w:rPr>
              <w:t>如属于残疾人福利性单位，须提供《残疾人福利性单位声明函》。</w:t>
            </w:r>
          </w:p>
          <w:p>
            <w:pPr>
              <w:pStyle w:val="35"/>
              <w:tabs>
                <w:tab w:val="left" w:pos="1260"/>
              </w:tabs>
              <w:adjustRightInd w:val="0"/>
              <w:snapToGrid w:val="0"/>
              <w:rPr>
                <w:szCs w:val="21"/>
                <w:lang w:val="en-GB"/>
              </w:rPr>
            </w:pPr>
            <w:r>
              <w:rPr>
                <w:szCs w:val="21"/>
              </w:rPr>
              <w:t>该声明函见投标文件第</w:t>
            </w:r>
            <w:r>
              <w:rPr>
                <w:szCs w:val="21"/>
                <w:u w:val="single"/>
              </w:rPr>
              <w:t xml:space="preserve">   </w:t>
            </w:r>
            <w:r>
              <w:rPr>
                <w:szCs w:val="21"/>
              </w:rPr>
              <w:t>至</w:t>
            </w:r>
            <w:r>
              <w:rPr>
                <w:szCs w:val="21"/>
                <w:u w:val="single"/>
              </w:rPr>
              <w:t xml:space="preserve">   </w:t>
            </w:r>
            <w:r>
              <w:rPr>
                <w:szCs w:val="21"/>
              </w:rPr>
              <w:t>页。</w:t>
            </w:r>
          </w:p>
        </w:tc>
      </w:tr>
    </w:tbl>
    <w:p>
      <w:pPr>
        <w:spacing w:line="360" w:lineRule="auto"/>
        <w:ind w:firstLine="448" w:firstLineChars="200"/>
        <w:outlineLvl w:val="0"/>
        <w:rPr>
          <w:sz w:val="24"/>
        </w:rPr>
      </w:pPr>
    </w:p>
    <w:p>
      <w:pPr>
        <w:spacing w:line="360" w:lineRule="auto"/>
        <w:ind w:firstLine="3808" w:firstLineChars="1700"/>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spacing w:line="560" w:lineRule="exact"/>
        <w:jc w:val="center"/>
        <w:rPr>
          <w:sz w:val="24"/>
        </w:rPr>
      </w:pPr>
      <w:r>
        <w:rPr>
          <w:sz w:val="24"/>
        </w:rPr>
        <w:br w:type="page"/>
      </w:r>
    </w:p>
    <w:p>
      <w:pPr>
        <w:snapToGrid w:val="0"/>
        <w:spacing w:line="360" w:lineRule="auto"/>
        <w:rPr>
          <w:b/>
          <w:sz w:val="24"/>
        </w:rPr>
      </w:pPr>
      <w:r>
        <w:rPr>
          <w:b/>
          <w:sz w:val="24"/>
          <w:szCs w:val="21"/>
        </w:rPr>
        <w:t>附件10：</w:t>
      </w:r>
      <w:r>
        <w:rPr>
          <w:b/>
          <w:sz w:val="24"/>
        </w:rPr>
        <w:t>招标文件第一部分供应商资格要求的证件</w:t>
      </w:r>
    </w:p>
    <w:p>
      <w:pPr>
        <w:widowControl/>
        <w:jc w:val="left"/>
        <w:rPr>
          <w:bCs/>
          <w:sz w:val="24"/>
        </w:rPr>
      </w:pPr>
      <w:r>
        <w:rPr>
          <w:bCs/>
          <w:sz w:val="24"/>
        </w:rPr>
        <w:br w:type="page"/>
      </w:r>
    </w:p>
    <w:p>
      <w:pPr>
        <w:autoSpaceDN w:val="0"/>
        <w:spacing w:line="360" w:lineRule="auto"/>
        <w:jc w:val="left"/>
        <w:rPr>
          <w:b/>
          <w:bCs/>
          <w:sz w:val="24"/>
        </w:rPr>
      </w:pPr>
      <w:r>
        <w:rPr>
          <w:rFonts w:hint="eastAsia"/>
          <w:b/>
          <w:bCs/>
          <w:sz w:val="24"/>
        </w:rPr>
        <w:t>附件11</w:t>
      </w:r>
    </w:p>
    <w:p>
      <w:pPr>
        <w:autoSpaceDN w:val="0"/>
        <w:spacing w:line="360" w:lineRule="auto"/>
        <w:jc w:val="center"/>
        <w:rPr>
          <w:bCs/>
          <w:sz w:val="24"/>
        </w:rPr>
      </w:pPr>
    </w:p>
    <w:p>
      <w:pPr>
        <w:tabs>
          <w:tab w:val="left" w:pos="360"/>
        </w:tabs>
        <w:spacing w:line="360" w:lineRule="auto"/>
        <w:jc w:val="center"/>
        <w:rPr>
          <w:b/>
          <w:bCs/>
          <w:sz w:val="24"/>
        </w:rPr>
      </w:pPr>
      <w:r>
        <w:rPr>
          <w:rFonts w:hint="eastAsia"/>
          <w:b/>
          <w:bCs/>
          <w:sz w:val="24"/>
        </w:rPr>
        <w:t>书面</w:t>
      </w:r>
      <w:r>
        <w:rPr>
          <w:b/>
          <w:bCs/>
          <w:sz w:val="24"/>
        </w:rPr>
        <w:t>声明</w:t>
      </w:r>
    </w:p>
    <w:p>
      <w:pPr>
        <w:pStyle w:val="27"/>
        <w:tabs>
          <w:tab w:val="left" w:pos="360"/>
        </w:tabs>
        <w:spacing w:line="360" w:lineRule="auto"/>
        <w:ind w:firstLine="446"/>
        <w:rPr>
          <w:sz w:val="24"/>
        </w:rPr>
      </w:pPr>
    </w:p>
    <w:p>
      <w:pPr>
        <w:pStyle w:val="27"/>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pPr>
        <w:pStyle w:val="27"/>
        <w:tabs>
          <w:tab w:val="left" w:pos="360"/>
        </w:tabs>
        <w:spacing w:line="360" w:lineRule="auto"/>
        <w:ind w:firstLine="446"/>
        <w:rPr>
          <w:sz w:val="24"/>
        </w:rPr>
      </w:pPr>
    </w:p>
    <w:p>
      <w:pPr>
        <w:pStyle w:val="27"/>
        <w:tabs>
          <w:tab w:val="left" w:pos="360"/>
        </w:tabs>
        <w:spacing w:line="360" w:lineRule="auto"/>
        <w:ind w:firstLine="446"/>
        <w:rPr>
          <w:sz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27"/>
        <w:tabs>
          <w:tab w:val="left" w:pos="360"/>
        </w:tabs>
        <w:spacing w:line="360" w:lineRule="auto"/>
        <w:ind w:firstLine="0" w:firstLineChars="0"/>
        <w:rPr>
          <w:sz w:val="24"/>
          <w:u w:val="single"/>
        </w:rPr>
      </w:pPr>
      <w:r>
        <w:rPr>
          <w:rFonts w:hint="eastAsia"/>
          <w:sz w:val="24"/>
          <w:u w:val="single"/>
        </w:rPr>
        <w:t xml:space="preserve">                                                                     </w:t>
      </w:r>
    </w:p>
    <w:p>
      <w:pPr>
        <w:pStyle w:val="27"/>
        <w:tabs>
          <w:tab w:val="left" w:pos="360"/>
        </w:tabs>
        <w:spacing w:line="360" w:lineRule="auto"/>
        <w:ind w:firstLine="446"/>
        <w:rPr>
          <w:sz w:val="24"/>
        </w:rPr>
      </w:pPr>
    </w:p>
    <w:p>
      <w:pPr>
        <w:pStyle w:val="27"/>
        <w:spacing w:line="360" w:lineRule="auto"/>
        <w:ind w:firstLine="0" w:firstLineChars="0"/>
        <w:jc w:val="center"/>
        <w:rPr>
          <w:b/>
          <w:sz w:val="24"/>
        </w:rPr>
      </w:pPr>
    </w:p>
    <w:p>
      <w:pPr>
        <w:pStyle w:val="27"/>
        <w:spacing w:line="360" w:lineRule="auto"/>
        <w:ind w:firstLine="0" w:firstLineChars="0"/>
        <w:jc w:val="center"/>
        <w:rPr>
          <w:b/>
          <w:sz w:val="24"/>
        </w:rPr>
      </w:pPr>
    </w:p>
    <w:p>
      <w:pPr>
        <w:pStyle w:val="27"/>
        <w:spacing w:line="360" w:lineRule="auto"/>
        <w:ind w:firstLine="0" w:firstLineChars="0"/>
        <w:jc w:val="center"/>
        <w:rPr>
          <w:b/>
          <w:sz w:val="24"/>
        </w:rPr>
      </w:pPr>
      <w:r>
        <w:rPr>
          <w:rFonts w:hint="eastAsia"/>
          <w:b/>
          <w:sz w:val="24"/>
        </w:rPr>
        <w:t>证明材料</w:t>
      </w:r>
    </w:p>
    <w:p>
      <w:pPr>
        <w:pStyle w:val="27"/>
        <w:tabs>
          <w:tab w:val="left" w:pos="360"/>
        </w:tabs>
        <w:spacing w:line="360" w:lineRule="auto"/>
        <w:ind w:firstLine="446"/>
        <w:rPr>
          <w:sz w:val="24"/>
        </w:rPr>
      </w:pPr>
    </w:p>
    <w:p>
      <w:pPr>
        <w:pStyle w:val="27"/>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pPr>
        <w:pStyle w:val="27"/>
        <w:tabs>
          <w:tab w:val="left" w:pos="360"/>
        </w:tabs>
        <w:spacing w:line="360" w:lineRule="auto"/>
        <w:ind w:firstLine="446"/>
        <w:rPr>
          <w:sz w:val="24"/>
        </w:rPr>
      </w:pPr>
    </w:p>
    <w:p>
      <w:pPr>
        <w:pStyle w:val="27"/>
        <w:tabs>
          <w:tab w:val="left" w:pos="360"/>
        </w:tabs>
        <w:spacing w:line="360" w:lineRule="auto"/>
        <w:ind w:firstLine="446"/>
        <w:rPr>
          <w:sz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b/>
          <w:sz w:val="24"/>
        </w:rPr>
      </w:pPr>
      <w:r>
        <w:rPr>
          <w:sz w:val="24"/>
          <w:szCs w:val="24"/>
        </w:rPr>
        <w:t>日期：</w:t>
      </w:r>
    </w:p>
    <w:p>
      <w:pPr>
        <w:snapToGrid w:val="0"/>
        <w:spacing w:line="360" w:lineRule="auto"/>
        <w:rPr>
          <w:sz w:val="24"/>
        </w:rPr>
      </w:pPr>
    </w:p>
    <w:p>
      <w:pPr>
        <w:snapToGrid w:val="0"/>
        <w:spacing w:line="360" w:lineRule="auto"/>
        <w:rPr>
          <w:sz w:val="24"/>
        </w:rPr>
      </w:pPr>
    </w:p>
    <w:p>
      <w:pPr>
        <w:widowControl/>
        <w:jc w:val="left"/>
        <w:rPr>
          <w:sz w:val="24"/>
        </w:rPr>
      </w:pPr>
      <w:r>
        <w:rPr>
          <w:sz w:val="24"/>
        </w:rPr>
        <w:br w:type="page"/>
      </w:r>
    </w:p>
    <w:p>
      <w:pPr>
        <w:snapToGrid w:val="0"/>
        <w:spacing w:line="360" w:lineRule="auto"/>
        <w:rPr>
          <w:b/>
          <w:bCs/>
          <w:sz w:val="24"/>
        </w:rPr>
      </w:pPr>
      <w:r>
        <w:rPr>
          <w:b/>
          <w:sz w:val="24"/>
        </w:rPr>
        <w:t>附件1</w:t>
      </w:r>
      <w:r>
        <w:rPr>
          <w:rFonts w:hint="eastAsia"/>
          <w:b/>
          <w:sz w:val="24"/>
        </w:rPr>
        <w:t>2</w:t>
      </w:r>
      <w:r>
        <w:rPr>
          <w:b/>
          <w:sz w:val="24"/>
        </w:rPr>
        <w:t>：招标文件</w:t>
      </w:r>
      <w:r>
        <w:rPr>
          <w:b/>
          <w:bCs/>
          <w:sz w:val="24"/>
        </w:rPr>
        <w:t>评分因素及评标标准中要求的证明材料扫描件、方案等</w:t>
      </w:r>
    </w:p>
    <w:p>
      <w:pPr>
        <w:widowControl/>
        <w:jc w:val="left"/>
        <w:rPr>
          <w:b/>
          <w:bCs/>
          <w:sz w:val="24"/>
        </w:rPr>
      </w:pPr>
      <w:r>
        <w:rPr>
          <w:b/>
          <w:bCs/>
          <w:sz w:val="24"/>
        </w:rPr>
        <w:br w:type="page"/>
      </w:r>
    </w:p>
    <w:p>
      <w:pPr>
        <w:snapToGrid w:val="0"/>
        <w:spacing w:line="360" w:lineRule="auto"/>
        <w:rPr>
          <w:b/>
          <w:sz w:val="24"/>
          <w:szCs w:val="21"/>
        </w:rPr>
      </w:pPr>
      <w:r>
        <w:rPr>
          <w:b/>
          <w:bCs/>
          <w:sz w:val="24"/>
        </w:rPr>
        <w:t>附件1</w:t>
      </w:r>
      <w:r>
        <w:rPr>
          <w:rFonts w:hint="eastAsia"/>
          <w:b/>
          <w:bCs/>
          <w:sz w:val="24"/>
        </w:rPr>
        <w:t>3</w:t>
      </w:r>
      <w:r>
        <w:rPr>
          <w:b/>
          <w:bCs/>
          <w:sz w:val="24"/>
        </w:rPr>
        <w:t>：</w:t>
      </w:r>
      <w:r>
        <w:rPr>
          <w:b/>
          <w:sz w:val="24"/>
        </w:rPr>
        <w:t>投标人认为需要提供的其他资料</w:t>
      </w:r>
    </w:p>
    <w:sectPr>
      <w:footerReference r:id="rId4" w:type="default"/>
      <w:pgSz w:w="11906" w:h="16838"/>
      <w:pgMar w:top="1440" w:right="1797" w:bottom="1440" w:left="1797" w:header="851" w:footer="992" w:gutter="0"/>
      <w:pgNumType w:start="1"/>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Calibri"/>
    <w:panose1 w:val="00000000000000000000"/>
    <w:charset w:val="00"/>
    <w:family w:val="auto"/>
    <w:pitch w:val="default"/>
    <w:sig w:usb0="00000000" w:usb1="00000000" w:usb2="00000000" w:usb3="00000000" w:csb0="0000019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9</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F6A45"/>
    <w:multiLevelType w:val="multilevel"/>
    <w:tmpl w:val="367F6A45"/>
    <w:lvl w:ilvl="0" w:tentative="0">
      <w:start w:val="1"/>
      <w:numFmt w:val="decimal"/>
      <w:pStyle w:val="4"/>
      <w:lvlText w:val="%1."/>
      <w:lvlJc w:val="left"/>
      <w:pPr>
        <w:ind w:left="360" w:hanging="360"/>
      </w:pPr>
      <w:rPr>
        <w:rFonts w:hint="default"/>
      </w:rPr>
    </w:lvl>
    <w:lvl w:ilvl="1" w:tentative="0">
      <w:start w:val="1"/>
      <w:numFmt w:val="decimal"/>
      <w:pStyle w:val="3"/>
      <w:lvlText w:val="%1.%2"/>
      <w:lvlJc w:val="left"/>
      <w:pPr>
        <w:tabs>
          <w:tab w:val="left" w:pos="432"/>
        </w:tabs>
        <w:ind w:left="432" w:hanging="432"/>
      </w:pPr>
      <w:rPr>
        <w:rFonts w:hint="default"/>
      </w:rPr>
    </w:lvl>
    <w:lvl w:ilvl="2" w:tentative="0">
      <w:start w:val="1"/>
      <w:numFmt w:val="lowerLetter"/>
      <w:pStyle w:val="6"/>
      <w:lvlText w:val="%3."/>
      <w:lvlJc w:val="left"/>
      <w:pPr>
        <w:ind w:left="792" w:hanging="360"/>
      </w:pPr>
      <w:rPr>
        <w:rFonts w:hint="default"/>
      </w:rPr>
    </w:lvl>
    <w:lvl w:ilvl="3" w:tentative="0">
      <w:start w:val="1"/>
      <w:numFmt w:val="lowerRoman"/>
      <w:pStyle w:val="8"/>
      <w:lvlText w:val="%4."/>
      <w:lvlJc w:val="left"/>
      <w:pPr>
        <w:ind w:left="1152" w:hanging="360"/>
      </w:pPr>
      <w:rPr>
        <w:rFonts w:hint="default"/>
      </w:rPr>
    </w:lvl>
    <w:lvl w:ilvl="4" w:tentative="0">
      <w:start w:val="1"/>
      <w:numFmt w:val="lowerLetter"/>
      <w:pStyle w:val="14"/>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062F6"/>
    <w:rsid w:val="000064C2"/>
    <w:rsid w:val="00007AE8"/>
    <w:rsid w:val="00010DCF"/>
    <w:rsid w:val="00011B73"/>
    <w:rsid w:val="00012B67"/>
    <w:rsid w:val="00013068"/>
    <w:rsid w:val="00013701"/>
    <w:rsid w:val="00013FE9"/>
    <w:rsid w:val="000165C5"/>
    <w:rsid w:val="00017C2D"/>
    <w:rsid w:val="00026A9F"/>
    <w:rsid w:val="000308AC"/>
    <w:rsid w:val="00032015"/>
    <w:rsid w:val="00036A32"/>
    <w:rsid w:val="00040332"/>
    <w:rsid w:val="000403B6"/>
    <w:rsid w:val="0004130F"/>
    <w:rsid w:val="00042FFE"/>
    <w:rsid w:val="0004454C"/>
    <w:rsid w:val="00046460"/>
    <w:rsid w:val="00047699"/>
    <w:rsid w:val="00050365"/>
    <w:rsid w:val="000520AC"/>
    <w:rsid w:val="00056208"/>
    <w:rsid w:val="0005643C"/>
    <w:rsid w:val="00056EF3"/>
    <w:rsid w:val="000606FD"/>
    <w:rsid w:val="000607D4"/>
    <w:rsid w:val="0006104E"/>
    <w:rsid w:val="00065BDD"/>
    <w:rsid w:val="0007081F"/>
    <w:rsid w:val="00072919"/>
    <w:rsid w:val="00074F44"/>
    <w:rsid w:val="000756A0"/>
    <w:rsid w:val="00075C85"/>
    <w:rsid w:val="00076BA5"/>
    <w:rsid w:val="00080C44"/>
    <w:rsid w:val="000826F9"/>
    <w:rsid w:val="00086439"/>
    <w:rsid w:val="00087648"/>
    <w:rsid w:val="00087943"/>
    <w:rsid w:val="00090318"/>
    <w:rsid w:val="000903A8"/>
    <w:rsid w:val="00092400"/>
    <w:rsid w:val="00092906"/>
    <w:rsid w:val="000A2B83"/>
    <w:rsid w:val="000A2FB6"/>
    <w:rsid w:val="000A4A8A"/>
    <w:rsid w:val="000A5651"/>
    <w:rsid w:val="000A5CEA"/>
    <w:rsid w:val="000A62E5"/>
    <w:rsid w:val="000B1CA7"/>
    <w:rsid w:val="000B2438"/>
    <w:rsid w:val="000B2975"/>
    <w:rsid w:val="000B4BF2"/>
    <w:rsid w:val="000B5A53"/>
    <w:rsid w:val="000C337F"/>
    <w:rsid w:val="000C6CA8"/>
    <w:rsid w:val="000C7A3F"/>
    <w:rsid w:val="000C7C9D"/>
    <w:rsid w:val="000D0B60"/>
    <w:rsid w:val="000D26D7"/>
    <w:rsid w:val="000D2BA2"/>
    <w:rsid w:val="000D2F5A"/>
    <w:rsid w:val="000D514E"/>
    <w:rsid w:val="000D5DE9"/>
    <w:rsid w:val="000E1224"/>
    <w:rsid w:val="000E1521"/>
    <w:rsid w:val="000E50F9"/>
    <w:rsid w:val="000E5380"/>
    <w:rsid w:val="000E6A76"/>
    <w:rsid w:val="000F1202"/>
    <w:rsid w:val="000F1454"/>
    <w:rsid w:val="000F48D9"/>
    <w:rsid w:val="000F4D4E"/>
    <w:rsid w:val="000F5C82"/>
    <w:rsid w:val="000F6957"/>
    <w:rsid w:val="000F7837"/>
    <w:rsid w:val="00100136"/>
    <w:rsid w:val="00100A44"/>
    <w:rsid w:val="001057B2"/>
    <w:rsid w:val="00106EFA"/>
    <w:rsid w:val="00107547"/>
    <w:rsid w:val="0011294F"/>
    <w:rsid w:val="00112C87"/>
    <w:rsid w:val="001165C6"/>
    <w:rsid w:val="0011666B"/>
    <w:rsid w:val="00121654"/>
    <w:rsid w:val="00121CDE"/>
    <w:rsid w:val="001232CD"/>
    <w:rsid w:val="00123611"/>
    <w:rsid w:val="00123BF8"/>
    <w:rsid w:val="001242F7"/>
    <w:rsid w:val="001256ED"/>
    <w:rsid w:val="0012609D"/>
    <w:rsid w:val="001307AA"/>
    <w:rsid w:val="00130AD2"/>
    <w:rsid w:val="0013288C"/>
    <w:rsid w:val="00136F51"/>
    <w:rsid w:val="001411F4"/>
    <w:rsid w:val="00141664"/>
    <w:rsid w:val="00143B4D"/>
    <w:rsid w:val="0014712D"/>
    <w:rsid w:val="00150DE5"/>
    <w:rsid w:val="001524A8"/>
    <w:rsid w:val="001544ED"/>
    <w:rsid w:val="00155128"/>
    <w:rsid w:val="00161A5D"/>
    <w:rsid w:val="001630A1"/>
    <w:rsid w:val="00163DC6"/>
    <w:rsid w:val="00164FD8"/>
    <w:rsid w:val="00165592"/>
    <w:rsid w:val="00165934"/>
    <w:rsid w:val="001659F0"/>
    <w:rsid w:val="001704C8"/>
    <w:rsid w:val="001707F2"/>
    <w:rsid w:val="001725A9"/>
    <w:rsid w:val="00173561"/>
    <w:rsid w:val="00173A83"/>
    <w:rsid w:val="00174526"/>
    <w:rsid w:val="00181348"/>
    <w:rsid w:val="00181ED5"/>
    <w:rsid w:val="001834DA"/>
    <w:rsid w:val="001837F4"/>
    <w:rsid w:val="00185D85"/>
    <w:rsid w:val="00192EBE"/>
    <w:rsid w:val="00193BCD"/>
    <w:rsid w:val="00193DE8"/>
    <w:rsid w:val="0019431D"/>
    <w:rsid w:val="00194438"/>
    <w:rsid w:val="00194FBC"/>
    <w:rsid w:val="00196A86"/>
    <w:rsid w:val="00196D6B"/>
    <w:rsid w:val="00196E07"/>
    <w:rsid w:val="001A142F"/>
    <w:rsid w:val="001A2919"/>
    <w:rsid w:val="001A3DE3"/>
    <w:rsid w:val="001A46F9"/>
    <w:rsid w:val="001B5BEA"/>
    <w:rsid w:val="001C0E64"/>
    <w:rsid w:val="001C1981"/>
    <w:rsid w:val="001C4A2D"/>
    <w:rsid w:val="001C50CC"/>
    <w:rsid w:val="001D0EB0"/>
    <w:rsid w:val="001D1850"/>
    <w:rsid w:val="001D249B"/>
    <w:rsid w:val="001D4FB9"/>
    <w:rsid w:val="001D619B"/>
    <w:rsid w:val="001E3CB7"/>
    <w:rsid w:val="001F1AB4"/>
    <w:rsid w:val="001F2B50"/>
    <w:rsid w:val="001F345B"/>
    <w:rsid w:val="001F4AD6"/>
    <w:rsid w:val="001F65EF"/>
    <w:rsid w:val="001F6DCF"/>
    <w:rsid w:val="0020203B"/>
    <w:rsid w:val="002027E3"/>
    <w:rsid w:val="00206328"/>
    <w:rsid w:val="002113A2"/>
    <w:rsid w:val="00212E26"/>
    <w:rsid w:val="00214D65"/>
    <w:rsid w:val="0021638D"/>
    <w:rsid w:val="00220883"/>
    <w:rsid w:val="002263C6"/>
    <w:rsid w:val="00226A28"/>
    <w:rsid w:val="00226A32"/>
    <w:rsid w:val="00227031"/>
    <w:rsid w:val="00230077"/>
    <w:rsid w:val="002320BD"/>
    <w:rsid w:val="0023232A"/>
    <w:rsid w:val="00233239"/>
    <w:rsid w:val="00243C5D"/>
    <w:rsid w:val="00243DC1"/>
    <w:rsid w:val="00244482"/>
    <w:rsid w:val="0024790F"/>
    <w:rsid w:val="00247A26"/>
    <w:rsid w:val="00247B56"/>
    <w:rsid w:val="00250531"/>
    <w:rsid w:val="00251ED7"/>
    <w:rsid w:val="00256A4A"/>
    <w:rsid w:val="002575F6"/>
    <w:rsid w:val="00260345"/>
    <w:rsid w:val="00261C83"/>
    <w:rsid w:val="00264E8A"/>
    <w:rsid w:val="00265B2C"/>
    <w:rsid w:val="00266956"/>
    <w:rsid w:val="00266AAA"/>
    <w:rsid w:val="00274CF5"/>
    <w:rsid w:val="00275C48"/>
    <w:rsid w:val="00277AEF"/>
    <w:rsid w:val="00280389"/>
    <w:rsid w:val="002804EC"/>
    <w:rsid w:val="00280C49"/>
    <w:rsid w:val="00292BE5"/>
    <w:rsid w:val="00293728"/>
    <w:rsid w:val="00293B4A"/>
    <w:rsid w:val="002948B5"/>
    <w:rsid w:val="00294986"/>
    <w:rsid w:val="00294EAF"/>
    <w:rsid w:val="00295416"/>
    <w:rsid w:val="00295883"/>
    <w:rsid w:val="0029610C"/>
    <w:rsid w:val="00297EAE"/>
    <w:rsid w:val="002A4B3C"/>
    <w:rsid w:val="002A5235"/>
    <w:rsid w:val="002A5E55"/>
    <w:rsid w:val="002B3BB4"/>
    <w:rsid w:val="002B3BFC"/>
    <w:rsid w:val="002B538F"/>
    <w:rsid w:val="002C696D"/>
    <w:rsid w:val="002D09CD"/>
    <w:rsid w:val="002D17E4"/>
    <w:rsid w:val="002D1D64"/>
    <w:rsid w:val="002D42CC"/>
    <w:rsid w:val="002D48F4"/>
    <w:rsid w:val="002D49A4"/>
    <w:rsid w:val="002D5B4E"/>
    <w:rsid w:val="002E1053"/>
    <w:rsid w:val="002E4551"/>
    <w:rsid w:val="002F1119"/>
    <w:rsid w:val="002F245E"/>
    <w:rsid w:val="002F3D09"/>
    <w:rsid w:val="002F4792"/>
    <w:rsid w:val="0030126F"/>
    <w:rsid w:val="003036EA"/>
    <w:rsid w:val="0031086D"/>
    <w:rsid w:val="00313073"/>
    <w:rsid w:val="0031461A"/>
    <w:rsid w:val="003159EF"/>
    <w:rsid w:val="00315FA2"/>
    <w:rsid w:val="00316DDF"/>
    <w:rsid w:val="00320416"/>
    <w:rsid w:val="00321DA5"/>
    <w:rsid w:val="00321DB3"/>
    <w:rsid w:val="00322EA4"/>
    <w:rsid w:val="00325832"/>
    <w:rsid w:val="00326E2A"/>
    <w:rsid w:val="0033138A"/>
    <w:rsid w:val="00332911"/>
    <w:rsid w:val="00335148"/>
    <w:rsid w:val="003353C7"/>
    <w:rsid w:val="00340281"/>
    <w:rsid w:val="003424AE"/>
    <w:rsid w:val="00343849"/>
    <w:rsid w:val="00343E7C"/>
    <w:rsid w:val="0034565D"/>
    <w:rsid w:val="003473CD"/>
    <w:rsid w:val="0035257E"/>
    <w:rsid w:val="00355EEA"/>
    <w:rsid w:val="003562E3"/>
    <w:rsid w:val="00364265"/>
    <w:rsid w:val="0036751A"/>
    <w:rsid w:val="00367868"/>
    <w:rsid w:val="0037009C"/>
    <w:rsid w:val="0037085F"/>
    <w:rsid w:val="00373C07"/>
    <w:rsid w:val="00374D2C"/>
    <w:rsid w:val="00377781"/>
    <w:rsid w:val="003839AE"/>
    <w:rsid w:val="00383A58"/>
    <w:rsid w:val="0038436A"/>
    <w:rsid w:val="00384A14"/>
    <w:rsid w:val="00386A81"/>
    <w:rsid w:val="003918BD"/>
    <w:rsid w:val="00391FD0"/>
    <w:rsid w:val="0039235B"/>
    <w:rsid w:val="003926CA"/>
    <w:rsid w:val="003937B9"/>
    <w:rsid w:val="00394B36"/>
    <w:rsid w:val="00394FCC"/>
    <w:rsid w:val="00395727"/>
    <w:rsid w:val="0039645C"/>
    <w:rsid w:val="003A4B1D"/>
    <w:rsid w:val="003A4EE6"/>
    <w:rsid w:val="003A7FEB"/>
    <w:rsid w:val="003B6D2D"/>
    <w:rsid w:val="003B78E0"/>
    <w:rsid w:val="003C189D"/>
    <w:rsid w:val="003C6ECC"/>
    <w:rsid w:val="003C71A3"/>
    <w:rsid w:val="003C7A89"/>
    <w:rsid w:val="003D2EF8"/>
    <w:rsid w:val="003E2404"/>
    <w:rsid w:val="003E2BBE"/>
    <w:rsid w:val="003E4B1B"/>
    <w:rsid w:val="003E5355"/>
    <w:rsid w:val="003E5E39"/>
    <w:rsid w:val="003E6E8F"/>
    <w:rsid w:val="003E71CA"/>
    <w:rsid w:val="003F2FCC"/>
    <w:rsid w:val="003F68DF"/>
    <w:rsid w:val="003F6B18"/>
    <w:rsid w:val="003F7025"/>
    <w:rsid w:val="0040134A"/>
    <w:rsid w:val="004025F5"/>
    <w:rsid w:val="00402BE6"/>
    <w:rsid w:val="004038D6"/>
    <w:rsid w:val="004052B8"/>
    <w:rsid w:val="0040553A"/>
    <w:rsid w:val="004055D4"/>
    <w:rsid w:val="0040569C"/>
    <w:rsid w:val="00410A95"/>
    <w:rsid w:val="00411416"/>
    <w:rsid w:val="00412894"/>
    <w:rsid w:val="00413972"/>
    <w:rsid w:val="004153D6"/>
    <w:rsid w:val="00415D1E"/>
    <w:rsid w:val="00415D39"/>
    <w:rsid w:val="00416AFE"/>
    <w:rsid w:val="004176FC"/>
    <w:rsid w:val="00424D37"/>
    <w:rsid w:val="00424F07"/>
    <w:rsid w:val="004267C9"/>
    <w:rsid w:val="00427F8D"/>
    <w:rsid w:val="00430F9D"/>
    <w:rsid w:val="00431536"/>
    <w:rsid w:val="00431C42"/>
    <w:rsid w:val="00432C99"/>
    <w:rsid w:val="00434187"/>
    <w:rsid w:val="00437067"/>
    <w:rsid w:val="004377AC"/>
    <w:rsid w:val="00437DB0"/>
    <w:rsid w:val="004424FE"/>
    <w:rsid w:val="00443C74"/>
    <w:rsid w:val="00445313"/>
    <w:rsid w:val="00446120"/>
    <w:rsid w:val="004519C8"/>
    <w:rsid w:val="00454160"/>
    <w:rsid w:val="004559D5"/>
    <w:rsid w:val="00455F7E"/>
    <w:rsid w:val="00457B84"/>
    <w:rsid w:val="004606F7"/>
    <w:rsid w:val="00460809"/>
    <w:rsid w:val="00461A5D"/>
    <w:rsid w:val="00463D4B"/>
    <w:rsid w:val="00467902"/>
    <w:rsid w:val="00467BBC"/>
    <w:rsid w:val="00470CBB"/>
    <w:rsid w:val="00471BA8"/>
    <w:rsid w:val="00472C82"/>
    <w:rsid w:val="004740E4"/>
    <w:rsid w:val="00477597"/>
    <w:rsid w:val="00477E16"/>
    <w:rsid w:val="00480BCD"/>
    <w:rsid w:val="004826E0"/>
    <w:rsid w:val="00485AF3"/>
    <w:rsid w:val="004905F4"/>
    <w:rsid w:val="00495ECD"/>
    <w:rsid w:val="004A0F57"/>
    <w:rsid w:val="004A18BA"/>
    <w:rsid w:val="004A1E95"/>
    <w:rsid w:val="004A3709"/>
    <w:rsid w:val="004A3B65"/>
    <w:rsid w:val="004A4E98"/>
    <w:rsid w:val="004A7516"/>
    <w:rsid w:val="004A7F72"/>
    <w:rsid w:val="004B2DBB"/>
    <w:rsid w:val="004B725D"/>
    <w:rsid w:val="004C7111"/>
    <w:rsid w:val="004D3E84"/>
    <w:rsid w:val="004D5F22"/>
    <w:rsid w:val="004D6293"/>
    <w:rsid w:val="004D6546"/>
    <w:rsid w:val="004E0B40"/>
    <w:rsid w:val="004E38E3"/>
    <w:rsid w:val="004F2476"/>
    <w:rsid w:val="004F2F7D"/>
    <w:rsid w:val="004F55DE"/>
    <w:rsid w:val="004F7B5C"/>
    <w:rsid w:val="0050024B"/>
    <w:rsid w:val="00502349"/>
    <w:rsid w:val="00502D44"/>
    <w:rsid w:val="005049CC"/>
    <w:rsid w:val="00506C8E"/>
    <w:rsid w:val="00506CD1"/>
    <w:rsid w:val="00512ABA"/>
    <w:rsid w:val="005131C3"/>
    <w:rsid w:val="00513A4E"/>
    <w:rsid w:val="005175A0"/>
    <w:rsid w:val="005201BE"/>
    <w:rsid w:val="00524604"/>
    <w:rsid w:val="00524852"/>
    <w:rsid w:val="00525EE9"/>
    <w:rsid w:val="00526035"/>
    <w:rsid w:val="00526D86"/>
    <w:rsid w:val="0053021A"/>
    <w:rsid w:val="00530B5B"/>
    <w:rsid w:val="00530D50"/>
    <w:rsid w:val="005329BE"/>
    <w:rsid w:val="005334B4"/>
    <w:rsid w:val="005349D4"/>
    <w:rsid w:val="00535165"/>
    <w:rsid w:val="00537D63"/>
    <w:rsid w:val="005407BF"/>
    <w:rsid w:val="00541927"/>
    <w:rsid w:val="00542508"/>
    <w:rsid w:val="00544107"/>
    <w:rsid w:val="005449BE"/>
    <w:rsid w:val="00545AE3"/>
    <w:rsid w:val="005506C7"/>
    <w:rsid w:val="0055079B"/>
    <w:rsid w:val="00550B2F"/>
    <w:rsid w:val="00552B17"/>
    <w:rsid w:val="00555C5A"/>
    <w:rsid w:val="00555DDD"/>
    <w:rsid w:val="0055739D"/>
    <w:rsid w:val="0056011E"/>
    <w:rsid w:val="005613FF"/>
    <w:rsid w:val="0056453E"/>
    <w:rsid w:val="00570D6F"/>
    <w:rsid w:val="0057120E"/>
    <w:rsid w:val="005718A8"/>
    <w:rsid w:val="00571C20"/>
    <w:rsid w:val="00572118"/>
    <w:rsid w:val="00572BEE"/>
    <w:rsid w:val="00572E0A"/>
    <w:rsid w:val="005737C6"/>
    <w:rsid w:val="00575042"/>
    <w:rsid w:val="00575DF4"/>
    <w:rsid w:val="00580546"/>
    <w:rsid w:val="00580CB3"/>
    <w:rsid w:val="005831FA"/>
    <w:rsid w:val="005842A0"/>
    <w:rsid w:val="0058472E"/>
    <w:rsid w:val="00584D37"/>
    <w:rsid w:val="00585991"/>
    <w:rsid w:val="0059473B"/>
    <w:rsid w:val="005953CA"/>
    <w:rsid w:val="005960BA"/>
    <w:rsid w:val="00596744"/>
    <w:rsid w:val="005A4121"/>
    <w:rsid w:val="005A6731"/>
    <w:rsid w:val="005B1221"/>
    <w:rsid w:val="005B352D"/>
    <w:rsid w:val="005B631B"/>
    <w:rsid w:val="005B6420"/>
    <w:rsid w:val="005C463B"/>
    <w:rsid w:val="005C5EB1"/>
    <w:rsid w:val="005D1B17"/>
    <w:rsid w:val="005D330D"/>
    <w:rsid w:val="005D3683"/>
    <w:rsid w:val="005D3AB2"/>
    <w:rsid w:val="005D4C3D"/>
    <w:rsid w:val="005D792B"/>
    <w:rsid w:val="005E05E9"/>
    <w:rsid w:val="005E292B"/>
    <w:rsid w:val="005E2966"/>
    <w:rsid w:val="005E6149"/>
    <w:rsid w:val="005E7FF4"/>
    <w:rsid w:val="005F09CC"/>
    <w:rsid w:val="005F15EF"/>
    <w:rsid w:val="005F2890"/>
    <w:rsid w:val="005F297C"/>
    <w:rsid w:val="005F3BAE"/>
    <w:rsid w:val="005F3EB2"/>
    <w:rsid w:val="006001B2"/>
    <w:rsid w:val="006014DA"/>
    <w:rsid w:val="006038D0"/>
    <w:rsid w:val="00611A86"/>
    <w:rsid w:val="00612BD3"/>
    <w:rsid w:val="00612F42"/>
    <w:rsid w:val="00613AFF"/>
    <w:rsid w:val="00616B13"/>
    <w:rsid w:val="00616C15"/>
    <w:rsid w:val="00620130"/>
    <w:rsid w:val="00622893"/>
    <w:rsid w:val="00625361"/>
    <w:rsid w:val="0062548D"/>
    <w:rsid w:val="00630B07"/>
    <w:rsid w:val="00630DB5"/>
    <w:rsid w:val="00631029"/>
    <w:rsid w:val="0063189E"/>
    <w:rsid w:val="00632268"/>
    <w:rsid w:val="00633921"/>
    <w:rsid w:val="00634087"/>
    <w:rsid w:val="00635552"/>
    <w:rsid w:val="00635DAE"/>
    <w:rsid w:val="00637E05"/>
    <w:rsid w:val="00641801"/>
    <w:rsid w:val="00643D14"/>
    <w:rsid w:val="00644C09"/>
    <w:rsid w:val="006478CA"/>
    <w:rsid w:val="00653F68"/>
    <w:rsid w:val="00665F3D"/>
    <w:rsid w:val="0066772F"/>
    <w:rsid w:val="00670BE5"/>
    <w:rsid w:val="0067226C"/>
    <w:rsid w:val="006741E5"/>
    <w:rsid w:val="006802EF"/>
    <w:rsid w:val="00681AE4"/>
    <w:rsid w:val="0068581C"/>
    <w:rsid w:val="00685987"/>
    <w:rsid w:val="00691E24"/>
    <w:rsid w:val="00692004"/>
    <w:rsid w:val="00697EBC"/>
    <w:rsid w:val="006A0563"/>
    <w:rsid w:val="006A1C8A"/>
    <w:rsid w:val="006A258A"/>
    <w:rsid w:val="006A437D"/>
    <w:rsid w:val="006A4BDB"/>
    <w:rsid w:val="006A5C56"/>
    <w:rsid w:val="006A5C81"/>
    <w:rsid w:val="006A5D28"/>
    <w:rsid w:val="006A6F51"/>
    <w:rsid w:val="006A75E7"/>
    <w:rsid w:val="006A7941"/>
    <w:rsid w:val="006B0EC3"/>
    <w:rsid w:val="006B19B9"/>
    <w:rsid w:val="006B52A7"/>
    <w:rsid w:val="006B7DBE"/>
    <w:rsid w:val="006C0461"/>
    <w:rsid w:val="006C23C2"/>
    <w:rsid w:val="006C59A5"/>
    <w:rsid w:val="006C7624"/>
    <w:rsid w:val="006C7A95"/>
    <w:rsid w:val="006C7FB3"/>
    <w:rsid w:val="006D103D"/>
    <w:rsid w:val="006D2F31"/>
    <w:rsid w:val="006D6564"/>
    <w:rsid w:val="006E0CD2"/>
    <w:rsid w:val="006E1997"/>
    <w:rsid w:val="006E2EB7"/>
    <w:rsid w:val="006E76A5"/>
    <w:rsid w:val="006F0645"/>
    <w:rsid w:val="006F1700"/>
    <w:rsid w:val="006F239F"/>
    <w:rsid w:val="007000FF"/>
    <w:rsid w:val="00700507"/>
    <w:rsid w:val="0070070A"/>
    <w:rsid w:val="007032F8"/>
    <w:rsid w:val="0070383F"/>
    <w:rsid w:val="0071193F"/>
    <w:rsid w:val="0071532D"/>
    <w:rsid w:val="007200EC"/>
    <w:rsid w:val="00721187"/>
    <w:rsid w:val="0072124A"/>
    <w:rsid w:val="007236BA"/>
    <w:rsid w:val="007238DD"/>
    <w:rsid w:val="00723D02"/>
    <w:rsid w:val="00723D84"/>
    <w:rsid w:val="00723EDE"/>
    <w:rsid w:val="00724717"/>
    <w:rsid w:val="0072660C"/>
    <w:rsid w:val="00727CF8"/>
    <w:rsid w:val="00730404"/>
    <w:rsid w:val="00731AB7"/>
    <w:rsid w:val="00734BFF"/>
    <w:rsid w:val="0074180F"/>
    <w:rsid w:val="007446DE"/>
    <w:rsid w:val="00746019"/>
    <w:rsid w:val="00746D3F"/>
    <w:rsid w:val="00747E7C"/>
    <w:rsid w:val="00750AB2"/>
    <w:rsid w:val="007532A0"/>
    <w:rsid w:val="00755358"/>
    <w:rsid w:val="007558DB"/>
    <w:rsid w:val="00755AB9"/>
    <w:rsid w:val="00757FB9"/>
    <w:rsid w:val="00760746"/>
    <w:rsid w:val="00766299"/>
    <w:rsid w:val="00766870"/>
    <w:rsid w:val="00766EC1"/>
    <w:rsid w:val="007702C7"/>
    <w:rsid w:val="007737A3"/>
    <w:rsid w:val="007738A0"/>
    <w:rsid w:val="0077606A"/>
    <w:rsid w:val="007801CD"/>
    <w:rsid w:val="0078146D"/>
    <w:rsid w:val="00781801"/>
    <w:rsid w:val="00782A8B"/>
    <w:rsid w:val="00783E3F"/>
    <w:rsid w:val="00784C33"/>
    <w:rsid w:val="00787C14"/>
    <w:rsid w:val="0079363C"/>
    <w:rsid w:val="00793B6E"/>
    <w:rsid w:val="0079785B"/>
    <w:rsid w:val="007A2AF5"/>
    <w:rsid w:val="007A4BB5"/>
    <w:rsid w:val="007A4FB6"/>
    <w:rsid w:val="007A5AEB"/>
    <w:rsid w:val="007A6AA6"/>
    <w:rsid w:val="007B1550"/>
    <w:rsid w:val="007B1B3A"/>
    <w:rsid w:val="007B4E82"/>
    <w:rsid w:val="007B5D7F"/>
    <w:rsid w:val="007B7C1E"/>
    <w:rsid w:val="007C1D1B"/>
    <w:rsid w:val="007C1F44"/>
    <w:rsid w:val="007C6783"/>
    <w:rsid w:val="007D6EC1"/>
    <w:rsid w:val="007D70E9"/>
    <w:rsid w:val="007E4CD6"/>
    <w:rsid w:val="007E73D8"/>
    <w:rsid w:val="007F1D75"/>
    <w:rsid w:val="007F1F0C"/>
    <w:rsid w:val="007F223F"/>
    <w:rsid w:val="007F5589"/>
    <w:rsid w:val="007F55DE"/>
    <w:rsid w:val="007F5E90"/>
    <w:rsid w:val="007F79A8"/>
    <w:rsid w:val="00800009"/>
    <w:rsid w:val="008005A8"/>
    <w:rsid w:val="0080286C"/>
    <w:rsid w:val="00802CE5"/>
    <w:rsid w:val="00804A39"/>
    <w:rsid w:val="00805098"/>
    <w:rsid w:val="00807A77"/>
    <w:rsid w:val="00810B35"/>
    <w:rsid w:val="0081120F"/>
    <w:rsid w:val="00814C9A"/>
    <w:rsid w:val="008152F1"/>
    <w:rsid w:val="00821FCA"/>
    <w:rsid w:val="008233A0"/>
    <w:rsid w:val="008259FC"/>
    <w:rsid w:val="00832534"/>
    <w:rsid w:val="00834EDE"/>
    <w:rsid w:val="00837228"/>
    <w:rsid w:val="00837495"/>
    <w:rsid w:val="00837F06"/>
    <w:rsid w:val="008444AE"/>
    <w:rsid w:val="00844EE4"/>
    <w:rsid w:val="008465BF"/>
    <w:rsid w:val="0084680C"/>
    <w:rsid w:val="008473BE"/>
    <w:rsid w:val="008527D8"/>
    <w:rsid w:val="00852DD8"/>
    <w:rsid w:val="00852EBB"/>
    <w:rsid w:val="0085585F"/>
    <w:rsid w:val="00855FFB"/>
    <w:rsid w:val="008563E3"/>
    <w:rsid w:val="00856C7F"/>
    <w:rsid w:val="00857E49"/>
    <w:rsid w:val="00861293"/>
    <w:rsid w:val="0086630A"/>
    <w:rsid w:val="00871418"/>
    <w:rsid w:val="00872A7C"/>
    <w:rsid w:val="00874016"/>
    <w:rsid w:val="00877294"/>
    <w:rsid w:val="00883479"/>
    <w:rsid w:val="00884FD3"/>
    <w:rsid w:val="00885DD4"/>
    <w:rsid w:val="00886809"/>
    <w:rsid w:val="0088750D"/>
    <w:rsid w:val="008879C5"/>
    <w:rsid w:val="00887BEC"/>
    <w:rsid w:val="00890051"/>
    <w:rsid w:val="00890E84"/>
    <w:rsid w:val="0089306D"/>
    <w:rsid w:val="0089306E"/>
    <w:rsid w:val="008951B3"/>
    <w:rsid w:val="00895914"/>
    <w:rsid w:val="008A1E8A"/>
    <w:rsid w:val="008A57E5"/>
    <w:rsid w:val="008B0E8C"/>
    <w:rsid w:val="008B1700"/>
    <w:rsid w:val="008B1F33"/>
    <w:rsid w:val="008B202B"/>
    <w:rsid w:val="008B3001"/>
    <w:rsid w:val="008B3CFE"/>
    <w:rsid w:val="008B54B4"/>
    <w:rsid w:val="008B5DBC"/>
    <w:rsid w:val="008B5F6A"/>
    <w:rsid w:val="008C3C92"/>
    <w:rsid w:val="008C4E8A"/>
    <w:rsid w:val="008C6B3D"/>
    <w:rsid w:val="008D394D"/>
    <w:rsid w:val="008D4422"/>
    <w:rsid w:val="008D45D9"/>
    <w:rsid w:val="008D640B"/>
    <w:rsid w:val="008E3C04"/>
    <w:rsid w:val="008E56E2"/>
    <w:rsid w:val="008E57F5"/>
    <w:rsid w:val="008E626A"/>
    <w:rsid w:val="008E68B5"/>
    <w:rsid w:val="008F35A8"/>
    <w:rsid w:val="009016E3"/>
    <w:rsid w:val="00902FCD"/>
    <w:rsid w:val="0090766A"/>
    <w:rsid w:val="009111AD"/>
    <w:rsid w:val="00913750"/>
    <w:rsid w:val="00913F09"/>
    <w:rsid w:val="00915808"/>
    <w:rsid w:val="00917496"/>
    <w:rsid w:val="00920DC3"/>
    <w:rsid w:val="0092151E"/>
    <w:rsid w:val="0092600D"/>
    <w:rsid w:val="009262B5"/>
    <w:rsid w:val="00926B0C"/>
    <w:rsid w:val="00931A37"/>
    <w:rsid w:val="00935FF3"/>
    <w:rsid w:val="0093630E"/>
    <w:rsid w:val="00936E99"/>
    <w:rsid w:val="00940318"/>
    <w:rsid w:val="0094062F"/>
    <w:rsid w:val="0094212E"/>
    <w:rsid w:val="009438AB"/>
    <w:rsid w:val="0094458A"/>
    <w:rsid w:val="0094466C"/>
    <w:rsid w:val="00947EC9"/>
    <w:rsid w:val="00951A8D"/>
    <w:rsid w:val="009533CE"/>
    <w:rsid w:val="00955B43"/>
    <w:rsid w:val="0095612C"/>
    <w:rsid w:val="00962A82"/>
    <w:rsid w:val="0096326C"/>
    <w:rsid w:val="00963601"/>
    <w:rsid w:val="009662F0"/>
    <w:rsid w:val="00966BCE"/>
    <w:rsid w:val="00974B43"/>
    <w:rsid w:val="00977FB6"/>
    <w:rsid w:val="009809F0"/>
    <w:rsid w:val="00980F32"/>
    <w:rsid w:val="009820A2"/>
    <w:rsid w:val="009829B0"/>
    <w:rsid w:val="0098433A"/>
    <w:rsid w:val="00984AB0"/>
    <w:rsid w:val="00984F44"/>
    <w:rsid w:val="0098544D"/>
    <w:rsid w:val="00986FAC"/>
    <w:rsid w:val="00987484"/>
    <w:rsid w:val="009908ED"/>
    <w:rsid w:val="00994363"/>
    <w:rsid w:val="00994D53"/>
    <w:rsid w:val="0099688A"/>
    <w:rsid w:val="009A02C9"/>
    <w:rsid w:val="009A0D32"/>
    <w:rsid w:val="009A2D36"/>
    <w:rsid w:val="009A3371"/>
    <w:rsid w:val="009A3F39"/>
    <w:rsid w:val="009A418D"/>
    <w:rsid w:val="009A4641"/>
    <w:rsid w:val="009A5F5B"/>
    <w:rsid w:val="009A70B1"/>
    <w:rsid w:val="009A7596"/>
    <w:rsid w:val="009B32D1"/>
    <w:rsid w:val="009B477B"/>
    <w:rsid w:val="009B50B5"/>
    <w:rsid w:val="009B72E8"/>
    <w:rsid w:val="009C0EA3"/>
    <w:rsid w:val="009C69C7"/>
    <w:rsid w:val="009D0786"/>
    <w:rsid w:val="009D187B"/>
    <w:rsid w:val="009D1E28"/>
    <w:rsid w:val="009D2059"/>
    <w:rsid w:val="009D2385"/>
    <w:rsid w:val="009D24A0"/>
    <w:rsid w:val="009D2784"/>
    <w:rsid w:val="009D5C8E"/>
    <w:rsid w:val="009E0499"/>
    <w:rsid w:val="009E105F"/>
    <w:rsid w:val="009E2558"/>
    <w:rsid w:val="009E3B6B"/>
    <w:rsid w:val="009E44DC"/>
    <w:rsid w:val="009E7D35"/>
    <w:rsid w:val="009F2269"/>
    <w:rsid w:val="009F3382"/>
    <w:rsid w:val="009F598A"/>
    <w:rsid w:val="009F5AC3"/>
    <w:rsid w:val="009F60C9"/>
    <w:rsid w:val="00A002FE"/>
    <w:rsid w:val="00A02228"/>
    <w:rsid w:val="00A03C90"/>
    <w:rsid w:val="00A03EDD"/>
    <w:rsid w:val="00A071FC"/>
    <w:rsid w:val="00A07548"/>
    <w:rsid w:val="00A10C25"/>
    <w:rsid w:val="00A11FFD"/>
    <w:rsid w:val="00A12C8D"/>
    <w:rsid w:val="00A148A6"/>
    <w:rsid w:val="00A2223B"/>
    <w:rsid w:val="00A251A6"/>
    <w:rsid w:val="00A252F0"/>
    <w:rsid w:val="00A264A9"/>
    <w:rsid w:val="00A26C90"/>
    <w:rsid w:val="00A3561D"/>
    <w:rsid w:val="00A35BC5"/>
    <w:rsid w:val="00A36386"/>
    <w:rsid w:val="00A425B4"/>
    <w:rsid w:val="00A440E2"/>
    <w:rsid w:val="00A447A8"/>
    <w:rsid w:val="00A45815"/>
    <w:rsid w:val="00A5132F"/>
    <w:rsid w:val="00A5241A"/>
    <w:rsid w:val="00A53C66"/>
    <w:rsid w:val="00A55A0E"/>
    <w:rsid w:val="00A55CB3"/>
    <w:rsid w:val="00A57696"/>
    <w:rsid w:val="00A60795"/>
    <w:rsid w:val="00A60AF2"/>
    <w:rsid w:val="00A62455"/>
    <w:rsid w:val="00A63263"/>
    <w:rsid w:val="00A64F8F"/>
    <w:rsid w:val="00A65418"/>
    <w:rsid w:val="00A711EB"/>
    <w:rsid w:val="00A76AD8"/>
    <w:rsid w:val="00A8009D"/>
    <w:rsid w:val="00A80583"/>
    <w:rsid w:val="00A80AAB"/>
    <w:rsid w:val="00A82D2B"/>
    <w:rsid w:val="00A90C1C"/>
    <w:rsid w:val="00A90E13"/>
    <w:rsid w:val="00A91021"/>
    <w:rsid w:val="00A92667"/>
    <w:rsid w:val="00A92A1A"/>
    <w:rsid w:val="00A936E7"/>
    <w:rsid w:val="00A95590"/>
    <w:rsid w:val="00A9562A"/>
    <w:rsid w:val="00A95654"/>
    <w:rsid w:val="00A97408"/>
    <w:rsid w:val="00A97998"/>
    <w:rsid w:val="00A979D9"/>
    <w:rsid w:val="00AA0FDA"/>
    <w:rsid w:val="00AA2CF3"/>
    <w:rsid w:val="00AA3118"/>
    <w:rsid w:val="00AA6B88"/>
    <w:rsid w:val="00AA760B"/>
    <w:rsid w:val="00AA772B"/>
    <w:rsid w:val="00AB0F96"/>
    <w:rsid w:val="00AB1AAB"/>
    <w:rsid w:val="00AB1AB2"/>
    <w:rsid w:val="00AB472B"/>
    <w:rsid w:val="00AB7376"/>
    <w:rsid w:val="00AC04F7"/>
    <w:rsid w:val="00AC0B2F"/>
    <w:rsid w:val="00AC22A6"/>
    <w:rsid w:val="00AC6628"/>
    <w:rsid w:val="00AC7CD8"/>
    <w:rsid w:val="00AD4123"/>
    <w:rsid w:val="00AD422E"/>
    <w:rsid w:val="00AE15EA"/>
    <w:rsid w:val="00AE1773"/>
    <w:rsid w:val="00AE2ECF"/>
    <w:rsid w:val="00AE4505"/>
    <w:rsid w:val="00AE509D"/>
    <w:rsid w:val="00AE5C1F"/>
    <w:rsid w:val="00AE7B06"/>
    <w:rsid w:val="00AF06D9"/>
    <w:rsid w:val="00AF3DA6"/>
    <w:rsid w:val="00AF4C34"/>
    <w:rsid w:val="00AF50C2"/>
    <w:rsid w:val="00B012DE"/>
    <w:rsid w:val="00B03A0E"/>
    <w:rsid w:val="00B05458"/>
    <w:rsid w:val="00B07152"/>
    <w:rsid w:val="00B108B8"/>
    <w:rsid w:val="00B1328E"/>
    <w:rsid w:val="00B135A5"/>
    <w:rsid w:val="00B13707"/>
    <w:rsid w:val="00B13CD0"/>
    <w:rsid w:val="00B208E4"/>
    <w:rsid w:val="00B2233E"/>
    <w:rsid w:val="00B24A31"/>
    <w:rsid w:val="00B25107"/>
    <w:rsid w:val="00B27DE5"/>
    <w:rsid w:val="00B31F81"/>
    <w:rsid w:val="00B32A76"/>
    <w:rsid w:val="00B32C88"/>
    <w:rsid w:val="00B331B2"/>
    <w:rsid w:val="00B37FB0"/>
    <w:rsid w:val="00B4237D"/>
    <w:rsid w:val="00B42656"/>
    <w:rsid w:val="00B443B4"/>
    <w:rsid w:val="00B45888"/>
    <w:rsid w:val="00B45B15"/>
    <w:rsid w:val="00B45F58"/>
    <w:rsid w:val="00B460B0"/>
    <w:rsid w:val="00B51D96"/>
    <w:rsid w:val="00B53BD7"/>
    <w:rsid w:val="00B55825"/>
    <w:rsid w:val="00B558D2"/>
    <w:rsid w:val="00B56096"/>
    <w:rsid w:val="00B63A52"/>
    <w:rsid w:val="00B64CBE"/>
    <w:rsid w:val="00B6637D"/>
    <w:rsid w:val="00B666EF"/>
    <w:rsid w:val="00B671A0"/>
    <w:rsid w:val="00B672EC"/>
    <w:rsid w:val="00B7176B"/>
    <w:rsid w:val="00B728F9"/>
    <w:rsid w:val="00B743B8"/>
    <w:rsid w:val="00B8141F"/>
    <w:rsid w:val="00B824E1"/>
    <w:rsid w:val="00B84566"/>
    <w:rsid w:val="00B85D52"/>
    <w:rsid w:val="00B86890"/>
    <w:rsid w:val="00B90DA7"/>
    <w:rsid w:val="00B91501"/>
    <w:rsid w:val="00B97FD0"/>
    <w:rsid w:val="00BA2789"/>
    <w:rsid w:val="00BA33E7"/>
    <w:rsid w:val="00BA48C0"/>
    <w:rsid w:val="00BA4E83"/>
    <w:rsid w:val="00BA632F"/>
    <w:rsid w:val="00BB21E1"/>
    <w:rsid w:val="00BB41E8"/>
    <w:rsid w:val="00BC2C56"/>
    <w:rsid w:val="00BC5201"/>
    <w:rsid w:val="00BC5D73"/>
    <w:rsid w:val="00BC6742"/>
    <w:rsid w:val="00BC74D7"/>
    <w:rsid w:val="00BC78CE"/>
    <w:rsid w:val="00BD0EA1"/>
    <w:rsid w:val="00BD11D6"/>
    <w:rsid w:val="00BD183A"/>
    <w:rsid w:val="00BD3CB4"/>
    <w:rsid w:val="00BD5A2E"/>
    <w:rsid w:val="00BD751A"/>
    <w:rsid w:val="00BE17A8"/>
    <w:rsid w:val="00BE20B2"/>
    <w:rsid w:val="00BE4FFC"/>
    <w:rsid w:val="00BF1387"/>
    <w:rsid w:val="00BF1B15"/>
    <w:rsid w:val="00BF27F1"/>
    <w:rsid w:val="00BF2C78"/>
    <w:rsid w:val="00BF3297"/>
    <w:rsid w:val="00BF3B42"/>
    <w:rsid w:val="00BF402E"/>
    <w:rsid w:val="00BF4384"/>
    <w:rsid w:val="00C00AE9"/>
    <w:rsid w:val="00C01AD0"/>
    <w:rsid w:val="00C030CD"/>
    <w:rsid w:val="00C04312"/>
    <w:rsid w:val="00C0504F"/>
    <w:rsid w:val="00C054A8"/>
    <w:rsid w:val="00C0765F"/>
    <w:rsid w:val="00C07C56"/>
    <w:rsid w:val="00C12B7B"/>
    <w:rsid w:val="00C12ED3"/>
    <w:rsid w:val="00C137F2"/>
    <w:rsid w:val="00C138AD"/>
    <w:rsid w:val="00C1421A"/>
    <w:rsid w:val="00C15609"/>
    <w:rsid w:val="00C23D41"/>
    <w:rsid w:val="00C24668"/>
    <w:rsid w:val="00C258AC"/>
    <w:rsid w:val="00C26AB0"/>
    <w:rsid w:val="00C27942"/>
    <w:rsid w:val="00C337B7"/>
    <w:rsid w:val="00C352E4"/>
    <w:rsid w:val="00C37976"/>
    <w:rsid w:val="00C4698B"/>
    <w:rsid w:val="00C52EC6"/>
    <w:rsid w:val="00C55371"/>
    <w:rsid w:val="00C553EC"/>
    <w:rsid w:val="00C555A4"/>
    <w:rsid w:val="00C55AB7"/>
    <w:rsid w:val="00C55ACC"/>
    <w:rsid w:val="00C6143B"/>
    <w:rsid w:val="00C6329B"/>
    <w:rsid w:val="00C637D6"/>
    <w:rsid w:val="00C6657F"/>
    <w:rsid w:val="00C67013"/>
    <w:rsid w:val="00C6748E"/>
    <w:rsid w:val="00C70482"/>
    <w:rsid w:val="00C720A2"/>
    <w:rsid w:val="00C7230E"/>
    <w:rsid w:val="00C72A5F"/>
    <w:rsid w:val="00C8474B"/>
    <w:rsid w:val="00C90170"/>
    <w:rsid w:val="00C96440"/>
    <w:rsid w:val="00C97D7D"/>
    <w:rsid w:val="00CA0D71"/>
    <w:rsid w:val="00CA262C"/>
    <w:rsid w:val="00CA26F5"/>
    <w:rsid w:val="00CA6449"/>
    <w:rsid w:val="00CA6E19"/>
    <w:rsid w:val="00CB0677"/>
    <w:rsid w:val="00CB1696"/>
    <w:rsid w:val="00CB26BB"/>
    <w:rsid w:val="00CB439E"/>
    <w:rsid w:val="00CB70B6"/>
    <w:rsid w:val="00CC1D1F"/>
    <w:rsid w:val="00CC3889"/>
    <w:rsid w:val="00CC3D49"/>
    <w:rsid w:val="00CC6B8A"/>
    <w:rsid w:val="00CC741C"/>
    <w:rsid w:val="00CC749E"/>
    <w:rsid w:val="00CC7FCE"/>
    <w:rsid w:val="00CD0B61"/>
    <w:rsid w:val="00CD214D"/>
    <w:rsid w:val="00CD3FAC"/>
    <w:rsid w:val="00CD4977"/>
    <w:rsid w:val="00CD4D29"/>
    <w:rsid w:val="00CD5427"/>
    <w:rsid w:val="00CE143E"/>
    <w:rsid w:val="00CE3129"/>
    <w:rsid w:val="00CE48BF"/>
    <w:rsid w:val="00CF0A02"/>
    <w:rsid w:val="00CF1098"/>
    <w:rsid w:val="00CF1AAC"/>
    <w:rsid w:val="00CF31B8"/>
    <w:rsid w:val="00CF3D52"/>
    <w:rsid w:val="00CF3FB6"/>
    <w:rsid w:val="00CF4653"/>
    <w:rsid w:val="00CF492A"/>
    <w:rsid w:val="00CF5381"/>
    <w:rsid w:val="00CF67CD"/>
    <w:rsid w:val="00CF6EAD"/>
    <w:rsid w:val="00D021FB"/>
    <w:rsid w:val="00D04F5A"/>
    <w:rsid w:val="00D058A4"/>
    <w:rsid w:val="00D06931"/>
    <w:rsid w:val="00D10C04"/>
    <w:rsid w:val="00D12CAF"/>
    <w:rsid w:val="00D13280"/>
    <w:rsid w:val="00D20DB7"/>
    <w:rsid w:val="00D2261A"/>
    <w:rsid w:val="00D25D8C"/>
    <w:rsid w:val="00D260FE"/>
    <w:rsid w:val="00D27C0B"/>
    <w:rsid w:val="00D36117"/>
    <w:rsid w:val="00D43D4D"/>
    <w:rsid w:val="00D51367"/>
    <w:rsid w:val="00D515B3"/>
    <w:rsid w:val="00D51C7E"/>
    <w:rsid w:val="00D540CF"/>
    <w:rsid w:val="00D54339"/>
    <w:rsid w:val="00D574C6"/>
    <w:rsid w:val="00D57E7B"/>
    <w:rsid w:val="00D616C1"/>
    <w:rsid w:val="00D63879"/>
    <w:rsid w:val="00D65F9B"/>
    <w:rsid w:val="00D660F1"/>
    <w:rsid w:val="00D67B15"/>
    <w:rsid w:val="00D73247"/>
    <w:rsid w:val="00D7384F"/>
    <w:rsid w:val="00D8166A"/>
    <w:rsid w:val="00D8458A"/>
    <w:rsid w:val="00D85E94"/>
    <w:rsid w:val="00D872E5"/>
    <w:rsid w:val="00D873D6"/>
    <w:rsid w:val="00D87A4B"/>
    <w:rsid w:val="00D87A82"/>
    <w:rsid w:val="00D91E56"/>
    <w:rsid w:val="00D94293"/>
    <w:rsid w:val="00D9463C"/>
    <w:rsid w:val="00D94BC3"/>
    <w:rsid w:val="00D9515A"/>
    <w:rsid w:val="00DA1C99"/>
    <w:rsid w:val="00DA30D4"/>
    <w:rsid w:val="00DA3B07"/>
    <w:rsid w:val="00DA44A4"/>
    <w:rsid w:val="00DA4AE5"/>
    <w:rsid w:val="00DA5924"/>
    <w:rsid w:val="00DB1959"/>
    <w:rsid w:val="00DB3474"/>
    <w:rsid w:val="00DB4158"/>
    <w:rsid w:val="00DB45F8"/>
    <w:rsid w:val="00DB4C16"/>
    <w:rsid w:val="00DB682A"/>
    <w:rsid w:val="00DC1E27"/>
    <w:rsid w:val="00DC35DE"/>
    <w:rsid w:val="00DC3931"/>
    <w:rsid w:val="00DC5888"/>
    <w:rsid w:val="00DD1FB1"/>
    <w:rsid w:val="00DD4A57"/>
    <w:rsid w:val="00DD4D01"/>
    <w:rsid w:val="00DD7985"/>
    <w:rsid w:val="00DE45AA"/>
    <w:rsid w:val="00DE4901"/>
    <w:rsid w:val="00DE5B26"/>
    <w:rsid w:val="00DE662C"/>
    <w:rsid w:val="00DE78D0"/>
    <w:rsid w:val="00DF03C2"/>
    <w:rsid w:val="00DF12BE"/>
    <w:rsid w:val="00DF2A97"/>
    <w:rsid w:val="00DF460E"/>
    <w:rsid w:val="00E03E6D"/>
    <w:rsid w:val="00E0438B"/>
    <w:rsid w:val="00E070DF"/>
    <w:rsid w:val="00E07B01"/>
    <w:rsid w:val="00E10441"/>
    <w:rsid w:val="00E12E28"/>
    <w:rsid w:val="00E15291"/>
    <w:rsid w:val="00E152B8"/>
    <w:rsid w:val="00E15D14"/>
    <w:rsid w:val="00E17FA9"/>
    <w:rsid w:val="00E20F2B"/>
    <w:rsid w:val="00E227FF"/>
    <w:rsid w:val="00E22993"/>
    <w:rsid w:val="00E2347A"/>
    <w:rsid w:val="00E26969"/>
    <w:rsid w:val="00E269BA"/>
    <w:rsid w:val="00E3028F"/>
    <w:rsid w:val="00E3103F"/>
    <w:rsid w:val="00E3184A"/>
    <w:rsid w:val="00E34F78"/>
    <w:rsid w:val="00E3578B"/>
    <w:rsid w:val="00E40D53"/>
    <w:rsid w:val="00E41D23"/>
    <w:rsid w:val="00E42474"/>
    <w:rsid w:val="00E455E0"/>
    <w:rsid w:val="00E47800"/>
    <w:rsid w:val="00E51066"/>
    <w:rsid w:val="00E53369"/>
    <w:rsid w:val="00E575B1"/>
    <w:rsid w:val="00E578C5"/>
    <w:rsid w:val="00E60CAD"/>
    <w:rsid w:val="00E67265"/>
    <w:rsid w:val="00E70135"/>
    <w:rsid w:val="00E70592"/>
    <w:rsid w:val="00E716E0"/>
    <w:rsid w:val="00E71BED"/>
    <w:rsid w:val="00E739BE"/>
    <w:rsid w:val="00E753DF"/>
    <w:rsid w:val="00E768C3"/>
    <w:rsid w:val="00E77325"/>
    <w:rsid w:val="00E81292"/>
    <w:rsid w:val="00E81B33"/>
    <w:rsid w:val="00E81D71"/>
    <w:rsid w:val="00E839EF"/>
    <w:rsid w:val="00E85C37"/>
    <w:rsid w:val="00E902A9"/>
    <w:rsid w:val="00E91379"/>
    <w:rsid w:val="00E92A1C"/>
    <w:rsid w:val="00E92C60"/>
    <w:rsid w:val="00E940DA"/>
    <w:rsid w:val="00E94513"/>
    <w:rsid w:val="00EA3643"/>
    <w:rsid w:val="00EA3BA2"/>
    <w:rsid w:val="00EA48B8"/>
    <w:rsid w:val="00EA6EC8"/>
    <w:rsid w:val="00EB01B6"/>
    <w:rsid w:val="00EB09D6"/>
    <w:rsid w:val="00EB1F35"/>
    <w:rsid w:val="00EB39C5"/>
    <w:rsid w:val="00EB47D5"/>
    <w:rsid w:val="00EB6A99"/>
    <w:rsid w:val="00EB6C44"/>
    <w:rsid w:val="00EC07CF"/>
    <w:rsid w:val="00EC0FB5"/>
    <w:rsid w:val="00EC29FA"/>
    <w:rsid w:val="00EC2FAA"/>
    <w:rsid w:val="00EC36BA"/>
    <w:rsid w:val="00EC3ACA"/>
    <w:rsid w:val="00EC41BC"/>
    <w:rsid w:val="00EC6E7D"/>
    <w:rsid w:val="00ED080B"/>
    <w:rsid w:val="00ED0E03"/>
    <w:rsid w:val="00ED3B82"/>
    <w:rsid w:val="00ED3E72"/>
    <w:rsid w:val="00ED4B6D"/>
    <w:rsid w:val="00ED6893"/>
    <w:rsid w:val="00EE564B"/>
    <w:rsid w:val="00EE79D6"/>
    <w:rsid w:val="00EF0D03"/>
    <w:rsid w:val="00EF0E84"/>
    <w:rsid w:val="00EF18D1"/>
    <w:rsid w:val="00EF5154"/>
    <w:rsid w:val="00EF5351"/>
    <w:rsid w:val="00EF7338"/>
    <w:rsid w:val="00F017F4"/>
    <w:rsid w:val="00F041C4"/>
    <w:rsid w:val="00F04FF1"/>
    <w:rsid w:val="00F06646"/>
    <w:rsid w:val="00F0691A"/>
    <w:rsid w:val="00F07FF9"/>
    <w:rsid w:val="00F1570A"/>
    <w:rsid w:val="00F1693F"/>
    <w:rsid w:val="00F20A4A"/>
    <w:rsid w:val="00F217C8"/>
    <w:rsid w:val="00F238DF"/>
    <w:rsid w:val="00F24726"/>
    <w:rsid w:val="00F25204"/>
    <w:rsid w:val="00F25935"/>
    <w:rsid w:val="00F26B16"/>
    <w:rsid w:val="00F306C7"/>
    <w:rsid w:val="00F30FEC"/>
    <w:rsid w:val="00F32F05"/>
    <w:rsid w:val="00F33DDF"/>
    <w:rsid w:val="00F374A1"/>
    <w:rsid w:val="00F40389"/>
    <w:rsid w:val="00F41B8B"/>
    <w:rsid w:val="00F42000"/>
    <w:rsid w:val="00F436AA"/>
    <w:rsid w:val="00F43FF6"/>
    <w:rsid w:val="00F51AD2"/>
    <w:rsid w:val="00F545AC"/>
    <w:rsid w:val="00F57097"/>
    <w:rsid w:val="00F57232"/>
    <w:rsid w:val="00F61CAD"/>
    <w:rsid w:val="00F66DD2"/>
    <w:rsid w:val="00F67526"/>
    <w:rsid w:val="00F67C9D"/>
    <w:rsid w:val="00F70820"/>
    <w:rsid w:val="00F82AF0"/>
    <w:rsid w:val="00F82D25"/>
    <w:rsid w:val="00F83355"/>
    <w:rsid w:val="00F86DB5"/>
    <w:rsid w:val="00F86E3C"/>
    <w:rsid w:val="00F86E7B"/>
    <w:rsid w:val="00F9117A"/>
    <w:rsid w:val="00F92891"/>
    <w:rsid w:val="00F97162"/>
    <w:rsid w:val="00FA16EF"/>
    <w:rsid w:val="00FA250E"/>
    <w:rsid w:val="00FA4865"/>
    <w:rsid w:val="00FA56C5"/>
    <w:rsid w:val="00FA5C9E"/>
    <w:rsid w:val="00FB0A47"/>
    <w:rsid w:val="00FB109B"/>
    <w:rsid w:val="00FB3025"/>
    <w:rsid w:val="00FB40BC"/>
    <w:rsid w:val="00FB56AE"/>
    <w:rsid w:val="00FB5E5B"/>
    <w:rsid w:val="00FC2F18"/>
    <w:rsid w:val="00FC417E"/>
    <w:rsid w:val="00FC4DF5"/>
    <w:rsid w:val="00FC5AA6"/>
    <w:rsid w:val="00FC6823"/>
    <w:rsid w:val="00FC7BCC"/>
    <w:rsid w:val="00FC7FDF"/>
    <w:rsid w:val="00FD2929"/>
    <w:rsid w:val="00FD3118"/>
    <w:rsid w:val="00FD4590"/>
    <w:rsid w:val="00FD4948"/>
    <w:rsid w:val="00FD4F8F"/>
    <w:rsid w:val="00FD796D"/>
    <w:rsid w:val="00FD7DDF"/>
    <w:rsid w:val="00FE2105"/>
    <w:rsid w:val="00FE251C"/>
    <w:rsid w:val="00FE3329"/>
    <w:rsid w:val="00FE4A64"/>
    <w:rsid w:val="00FE573C"/>
    <w:rsid w:val="00FE65E8"/>
    <w:rsid w:val="00FF536E"/>
    <w:rsid w:val="00FF5906"/>
    <w:rsid w:val="32D1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29"/>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3">
    <w:name w:val="List Number 2"/>
    <w:basedOn w:val="1"/>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4">
    <w:name w:val="List Number"/>
    <w:basedOn w:val="1"/>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5">
    <w:name w:val="Body Text Indent"/>
    <w:basedOn w:val="1"/>
    <w:link w:val="21"/>
    <w:uiPriority w:val="0"/>
    <w:pPr>
      <w:tabs>
        <w:tab w:val="left" w:pos="480"/>
      </w:tabs>
      <w:spacing w:line="560" w:lineRule="exact"/>
      <w:ind w:firstLine="480"/>
      <w:jc w:val="left"/>
    </w:pPr>
    <w:rPr>
      <w:rFonts w:ascii="宋体" w:hAnsi="宋体"/>
      <w:sz w:val="24"/>
    </w:rPr>
  </w:style>
  <w:style w:type="paragraph" w:styleId="6">
    <w:name w:val="List Number 3"/>
    <w:basedOn w:val="1"/>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7">
    <w:name w:val="Plain Text"/>
    <w:basedOn w:val="1"/>
    <w:link w:val="33"/>
    <w:qFormat/>
    <w:uiPriority w:val="0"/>
    <w:rPr>
      <w:rFonts w:ascii="宋体" w:hAnsi="Courier New"/>
      <w:lang w:val="zh-CN" w:eastAsia="zh-CN"/>
    </w:rPr>
  </w:style>
  <w:style w:type="paragraph" w:styleId="8">
    <w:name w:val="List Number 4"/>
    <w:basedOn w:val="1"/>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9">
    <w:name w:val="Date"/>
    <w:basedOn w:val="1"/>
    <w:next w:val="1"/>
    <w:link w:val="26"/>
    <w:uiPriority w:val="0"/>
    <w:pPr>
      <w:adjustRightInd w:val="0"/>
      <w:spacing w:line="360" w:lineRule="atLeast"/>
      <w:textAlignment w:val="baseline"/>
    </w:pPr>
    <w:rPr>
      <w:sz w:val="32"/>
    </w:rPr>
  </w:style>
  <w:style w:type="paragraph" w:styleId="10">
    <w:name w:val="Body Text Indent 2"/>
    <w:basedOn w:val="1"/>
    <w:link w:val="28"/>
    <w:semiHidden/>
    <w:unhideWhenUsed/>
    <w:qFormat/>
    <w:uiPriority w:val="99"/>
    <w:pPr>
      <w:spacing w:after="120" w:line="480" w:lineRule="auto"/>
      <w:ind w:left="420" w:leftChars="200"/>
    </w:pPr>
  </w:style>
  <w:style w:type="paragraph" w:styleId="11">
    <w:name w:val="footer"/>
    <w:basedOn w:val="1"/>
    <w:link w:val="25"/>
    <w:unhideWhenUsed/>
    <w:uiPriority w:val="99"/>
    <w:pPr>
      <w:tabs>
        <w:tab w:val="center" w:pos="4153"/>
        <w:tab w:val="right" w:pos="8306"/>
      </w:tabs>
      <w:snapToGrid w:val="0"/>
      <w:jc w:val="left"/>
    </w:pPr>
    <w:rPr>
      <w:sz w:val="18"/>
      <w:szCs w:val="18"/>
    </w:rPr>
  </w:style>
  <w:style w:type="paragraph" w:styleId="12">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3"/>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4">
    <w:name w:val="List Number 5"/>
    <w:basedOn w:val="1"/>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5">
    <w:name w:val="Body Text Indent 3"/>
    <w:basedOn w:val="1"/>
    <w:link w:val="34"/>
    <w:semiHidden/>
    <w:unhideWhenUsed/>
    <w:qFormat/>
    <w:uiPriority w:val="99"/>
    <w:pPr>
      <w:spacing w:after="120"/>
      <w:ind w:left="420" w:leftChars="200"/>
    </w:pPr>
    <w:rPr>
      <w:sz w:val="16"/>
      <w:szCs w:val="16"/>
    </w:rPr>
  </w:style>
  <w:style w:type="paragraph" w:styleId="16">
    <w:name w:val="Body Text 2"/>
    <w:basedOn w:val="1"/>
    <w:link w:val="30"/>
    <w:semiHidden/>
    <w:unhideWhenUsed/>
    <w:uiPriority w:val="99"/>
    <w:pPr>
      <w:spacing w:after="120" w:line="480" w:lineRule="auto"/>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customStyle="1" w:styleId="21">
    <w:name w:val="正文文本缩进 Char"/>
    <w:basedOn w:val="19"/>
    <w:link w:val="5"/>
    <w:uiPriority w:val="0"/>
    <w:rPr>
      <w:rFonts w:ascii="宋体" w:hAnsi="宋体" w:eastAsia="宋体" w:cs="Times New Roman"/>
      <w:sz w:val="24"/>
      <w:szCs w:val="20"/>
    </w:rPr>
  </w:style>
  <w:style w:type="paragraph" w:customStyle="1" w:styleId="22">
    <w:name w:val="Default"/>
    <w:link w:val="41"/>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23">
    <w:name w:val="副标题 Char"/>
    <w:basedOn w:val="19"/>
    <w:link w:val="13"/>
    <w:uiPriority w:val="11"/>
    <w:rPr>
      <w:rFonts w:ascii="Cambria" w:hAnsi="Cambria" w:eastAsia="宋体" w:cs="Times New Roman"/>
      <w:b/>
      <w:bCs/>
      <w:kern w:val="28"/>
      <w:sz w:val="32"/>
      <w:szCs w:val="32"/>
      <w:lang w:val="zh-CN" w:eastAsia="zh-CN"/>
    </w:rPr>
  </w:style>
  <w:style w:type="character" w:customStyle="1" w:styleId="24">
    <w:name w:val="页眉 Char"/>
    <w:basedOn w:val="19"/>
    <w:link w:val="12"/>
    <w:uiPriority w:val="99"/>
    <w:rPr>
      <w:rFonts w:ascii="Times New Roman" w:hAnsi="Times New Roman" w:eastAsia="宋体" w:cs="Times New Roman"/>
      <w:sz w:val="18"/>
      <w:szCs w:val="18"/>
    </w:rPr>
  </w:style>
  <w:style w:type="character" w:customStyle="1" w:styleId="25">
    <w:name w:val="页脚 Char"/>
    <w:basedOn w:val="19"/>
    <w:link w:val="11"/>
    <w:qFormat/>
    <w:uiPriority w:val="99"/>
    <w:rPr>
      <w:rFonts w:ascii="Times New Roman" w:hAnsi="Times New Roman" w:eastAsia="宋体" w:cs="Times New Roman"/>
      <w:sz w:val="18"/>
      <w:szCs w:val="18"/>
    </w:rPr>
  </w:style>
  <w:style w:type="character" w:customStyle="1" w:styleId="26">
    <w:name w:val="日期 Char"/>
    <w:basedOn w:val="19"/>
    <w:link w:val="9"/>
    <w:qFormat/>
    <w:uiPriority w:val="0"/>
    <w:rPr>
      <w:rFonts w:ascii="Times New Roman" w:hAnsi="Times New Roman" w:eastAsia="宋体" w:cs="Times New Roman"/>
      <w:sz w:val="32"/>
      <w:szCs w:val="20"/>
    </w:rPr>
  </w:style>
  <w:style w:type="paragraph" w:styleId="27">
    <w:name w:val="List Paragraph"/>
    <w:basedOn w:val="1"/>
    <w:link w:val="42"/>
    <w:qFormat/>
    <w:uiPriority w:val="34"/>
    <w:pPr>
      <w:ind w:firstLine="420" w:firstLineChars="200"/>
    </w:pPr>
  </w:style>
  <w:style w:type="character" w:customStyle="1" w:styleId="28">
    <w:name w:val="正文文本缩进 2 Char"/>
    <w:basedOn w:val="19"/>
    <w:link w:val="10"/>
    <w:semiHidden/>
    <w:uiPriority w:val="99"/>
    <w:rPr>
      <w:rFonts w:ascii="Times New Roman" w:hAnsi="Times New Roman" w:eastAsia="宋体" w:cs="Times New Roman"/>
      <w:szCs w:val="20"/>
    </w:rPr>
  </w:style>
  <w:style w:type="character" w:customStyle="1" w:styleId="29">
    <w:name w:val="标题 3 Char"/>
    <w:basedOn w:val="19"/>
    <w:link w:val="2"/>
    <w:uiPriority w:val="0"/>
    <w:rPr>
      <w:rFonts w:ascii="Times New Roman" w:hAnsi="Times New Roman" w:eastAsia="宋体" w:cs="Times New Roman"/>
      <w:b/>
      <w:bCs/>
      <w:sz w:val="32"/>
      <w:szCs w:val="32"/>
    </w:rPr>
  </w:style>
  <w:style w:type="character" w:customStyle="1" w:styleId="30">
    <w:name w:val="正文文本 2 Char"/>
    <w:basedOn w:val="19"/>
    <w:link w:val="16"/>
    <w:semiHidden/>
    <w:uiPriority w:val="99"/>
    <w:rPr>
      <w:rFonts w:ascii="Times New Roman" w:hAnsi="Times New Roman" w:eastAsia="宋体" w:cs="Times New Roman"/>
      <w:szCs w:val="20"/>
    </w:rPr>
  </w:style>
  <w:style w:type="paragraph" w:customStyle="1" w:styleId="31">
    <w:name w:val="Char"/>
    <w:basedOn w:val="1"/>
    <w:qFormat/>
    <w:uiPriority w:val="0"/>
    <w:pPr>
      <w:tabs>
        <w:tab w:val="left" w:pos="360"/>
      </w:tabs>
    </w:pPr>
    <w:rPr>
      <w:sz w:val="24"/>
      <w:szCs w:val="24"/>
    </w:rPr>
  </w:style>
  <w:style w:type="character" w:customStyle="1" w:styleId="32">
    <w:name w:val="纯文本 Char"/>
    <w:basedOn w:val="19"/>
    <w:semiHidden/>
    <w:qFormat/>
    <w:uiPriority w:val="99"/>
    <w:rPr>
      <w:rFonts w:ascii="宋体" w:hAnsi="Courier New" w:eastAsia="宋体" w:cs="Courier New"/>
      <w:szCs w:val="21"/>
    </w:rPr>
  </w:style>
  <w:style w:type="character" w:customStyle="1" w:styleId="33">
    <w:name w:val="纯文本 Char1"/>
    <w:link w:val="7"/>
    <w:qFormat/>
    <w:locked/>
    <w:uiPriority w:val="0"/>
    <w:rPr>
      <w:rFonts w:ascii="宋体" w:hAnsi="Courier New" w:eastAsia="宋体" w:cs="Times New Roman"/>
      <w:szCs w:val="20"/>
      <w:lang w:val="zh-CN" w:eastAsia="zh-CN"/>
    </w:rPr>
  </w:style>
  <w:style w:type="character" w:customStyle="1" w:styleId="34">
    <w:name w:val="正文文本缩进 3 Char"/>
    <w:basedOn w:val="19"/>
    <w:link w:val="15"/>
    <w:semiHidden/>
    <w:uiPriority w:val="99"/>
    <w:rPr>
      <w:rFonts w:ascii="Times New Roman" w:hAnsi="Times New Roman" w:eastAsia="宋体" w:cs="Times New Roman"/>
      <w:sz w:val="16"/>
      <w:szCs w:val="16"/>
    </w:rPr>
  </w:style>
  <w:style w:type="paragraph" w:customStyle="1" w:styleId="3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Char2"/>
    <w:basedOn w:val="1"/>
    <w:uiPriority w:val="0"/>
    <w:pPr>
      <w:tabs>
        <w:tab w:val="left" w:pos="360"/>
      </w:tabs>
    </w:pPr>
    <w:rPr>
      <w:sz w:val="24"/>
      <w:szCs w:val="24"/>
    </w:rPr>
  </w:style>
  <w:style w:type="paragraph" w:customStyle="1" w:styleId="40">
    <w:name w:val="列出段落1"/>
    <w:basedOn w:val="1"/>
    <w:semiHidden/>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41">
    <w:name w:val="Default Char"/>
    <w:link w:val="22"/>
    <w:qFormat/>
    <w:locked/>
    <w:uiPriority w:val="0"/>
    <w:rPr>
      <w:rFonts w:ascii="......." w:hAnsi="Calibri" w:eastAsia="......." w:cs="......."/>
      <w:color w:val="000000"/>
      <w:kern w:val="0"/>
      <w:sz w:val="24"/>
      <w:szCs w:val="24"/>
    </w:rPr>
  </w:style>
  <w:style w:type="character" w:customStyle="1" w:styleId="42">
    <w:name w:val="列出段落 Char"/>
    <w:link w:val="27"/>
    <w:uiPriority w:val="34"/>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E82B3-1303-45C4-B085-F2CF75A3AF0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60</Pages>
  <Words>4261</Words>
  <Characters>24290</Characters>
  <Lines>202</Lines>
  <Paragraphs>56</Paragraphs>
  <TotalTime>32</TotalTime>
  <ScaleCrop>false</ScaleCrop>
  <LinksUpToDate>false</LinksUpToDate>
  <CharactersWithSpaces>28495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2021-09-30T08:36:00Z</dcterms:created>
  <dc:creator>未定义</dc:creator>
  <cp:lastModifiedBy>兜兜有糖</cp:lastModifiedBy>
  <dcterms:modified xsi:type="dcterms:W3CDTF">2021-11-07T12:51:26Z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6A0726976ED6491AA5D22831AF25ADDF</vt:lpwstr>
  </property>
</Properties>
</file>