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jc w:val="center"/>
        <w:rPr>
          <w:rFonts w:hint="eastAsia" w:hAnsi="宋体" w:cs="宋体"/>
          <w:b/>
          <w:color w:val="000000"/>
          <w:sz w:val="48"/>
          <w:szCs w:val="48"/>
        </w:rPr>
      </w:pPr>
    </w:p>
    <w:p>
      <w:pPr>
        <w:pStyle w:val="26"/>
        <w:adjustRightInd w:val="0"/>
        <w:snapToGrid w:val="0"/>
        <w:spacing w:line="240" w:lineRule="atLeast"/>
        <w:jc w:val="center"/>
        <w:rPr>
          <w:rFonts w:hint="eastAsia" w:asciiTheme="minorEastAsia" w:hAnsiTheme="minorEastAsia" w:eastAsiaTheme="minorEastAsia"/>
          <w:b/>
          <w:bCs w:val="0"/>
          <w:color w:val="auto"/>
          <w:sz w:val="72"/>
          <w:szCs w:val="72"/>
          <w:highlight w:val="none"/>
        </w:rPr>
      </w:pPr>
    </w:p>
    <w:p>
      <w:pPr>
        <w:pStyle w:val="26"/>
        <w:adjustRightInd w:val="0"/>
        <w:snapToGrid w:val="0"/>
        <w:spacing w:line="240" w:lineRule="atLeast"/>
        <w:jc w:val="center"/>
        <w:rPr>
          <w:rFonts w:hint="eastAsia" w:asciiTheme="minorEastAsia" w:hAnsiTheme="minorEastAsia" w:eastAsiaTheme="minorEastAsia"/>
          <w:b/>
          <w:bCs w:val="0"/>
          <w:color w:val="auto"/>
          <w:sz w:val="72"/>
          <w:szCs w:val="72"/>
          <w:highlight w:val="none"/>
        </w:rPr>
      </w:pPr>
    </w:p>
    <w:p>
      <w:pPr>
        <w:pStyle w:val="26"/>
        <w:adjustRightInd w:val="0"/>
        <w:snapToGrid w:val="0"/>
        <w:spacing w:line="240" w:lineRule="atLeast"/>
        <w:jc w:val="center"/>
        <w:rPr>
          <w:rFonts w:asciiTheme="minorEastAsia" w:hAnsiTheme="minorEastAsia" w:eastAsiaTheme="minorEastAsia"/>
          <w:b/>
          <w:bCs w:val="0"/>
          <w:color w:val="auto"/>
          <w:sz w:val="72"/>
          <w:szCs w:val="72"/>
          <w:highlight w:val="none"/>
        </w:rPr>
      </w:pPr>
      <w:r>
        <w:rPr>
          <w:rFonts w:hint="eastAsia" w:asciiTheme="minorEastAsia" w:hAnsiTheme="minorEastAsia" w:eastAsiaTheme="minorEastAsia"/>
          <w:b/>
          <w:bCs w:val="0"/>
          <w:color w:val="auto"/>
          <w:sz w:val="72"/>
          <w:szCs w:val="72"/>
          <w:highlight w:val="none"/>
        </w:rPr>
        <w:t>政府采购</w:t>
      </w:r>
    </w:p>
    <w:p>
      <w:pPr>
        <w:pStyle w:val="26"/>
        <w:adjustRightInd w:val="0"/>
        <w:snapToGrid w:val="0"/>
        <w:spacing w:line="240" w:lineRule="atLeast"/>
        <w:jc w:val="center"/>
        <w:rPr>
          <w:rFonts w:asciiTheme="minorEastAsia" w:hAnsiTheme="minorEastAsia" w:eastAsiaTheme="minorEastAsia"/>
          <w:b/>
          <w:bCs w:val="0"/>
          <w:color w:val="auto"/>
          <w:sz w:val="84"/>
          <w:szCs w:val="84"/>
          <w:highlight w:val="none"/>
        </w:rPr>
      </w:pPr>
      <w:r>
        <w:rPr>
          <w:rFonts w:hint="eastAsia" w:asciiTheme="minorEastAsia" w:hAnsiTheme="minorEastAsia" w:eastAsiaTheme="minorEastAsia"/>
          <w:b/>
          <w:bCs w:val="0"/>
          <w:color w:val="auto"/>
          <w:sz w:val="84"/>
          <w:szCs w:val="84"/>
          <w:highlight w:val="none"/>
        </w:rPr>
        <w:t>招标文件</w:t>
      </w:r>
    </w:p>
    <w:p>
      <w:pPr>
        <w:pStyle w:val="26"/>
        <w:adjustRightInd w:val="0"/>
        <w:snapToGrid w:val="0"/>
        <w:spacing w:line="240" w:lineRule="atLeast"/>
        <w:jc w:val="center"/>
        <w:rPr>
          <w:rFonts w:asciiTheme="minorEastAsia" w:hAnsiTheme="minorEastAsia" w:eastAsiaTheme="minorEastAsia"/>
          <w:b/>
          <w:bCs/>
          <w:color w:val="auto"/>
          <w:sz w:val="44"/>
          <w:szCs w:val="44"/>
          <w:highlight w:val="none"/>
        </w:rPr>
      </w:pPr>
    </w:p>
    <w:p>
      <w:pPr>
        <w:pStyle w:val="26"/>
        <w:adjustRightInd w:val="0"/>
        <w:snapToGrid w:val="0"/>
        <w:spacing w:line="240" w:lineRule="atLeast"/>
        <w:jc w:val="center"/>
        <w:rPr>
          <w:rFonts w:asciiTheme="minorEastAsia" w:hAnsiTheme="minorEastAsia" w:eastAsiaTheme="minorEastAsia"/>
          <w:b/>
          <w:bCs/>
          <w:color w:val="auto"/>
          <w:sz w:val="44"/>
          <w:szCs w:val="44"/>
          <w:highlight w:val="none"/>
        </w:rPr>
      </w:pPr>
    </w:p>
    <w:p>
      <w:pPr>
        <w:adjustRightInd w:val="0"/>
        <w:snapToGrid w:val="0"/>
        <w:spacing w:line="360" w:lineRule="auto"/>
        <w:rPr>
          <w:rFonts w:hint="eastAsia" w:asciiTheme="minorEastAsia" w:hAnsiTheme="minorEastAsia" w:eastAsiaTheme="minorEastAsia"/>
          <w:b/>
          <w:color w:val="auto"/>
          <w:sz w:val="32"/>
          <w:szCs w:val="32"/>
          <w:highlight w:val="none"/>
        </w:rPr>
      </w:pPr>
    </w:p>
    <w:p>
      <w:pPr>
        <w:adjustRightInd w:val="0"/>
        <w:snapToGrid w:val="0"/>
        <w:spacing w:line="360" w:lineRule="auto"/>
        <w:ind w:left="958" w:leftChars="456" w:firstLine="161" w:firstLineChars="50"/>
        <w:rPr>
          <w:rFonts w:hint="eastAsia" w:asciiTheme="minorEastAsia" w:hAnsiTheme="minorEastAsia" w:eastAsiaTheme="minorEastAsia"/>
          <w:b/>
          <w:color w:val="auto"/>
          <w:sz w:val="32"/>
          <w:szCs w:val="32"/>
          <w:highlight w:val="none"/>
          <w:u w:val="single"/>
          <w:lang w:val="en-US" w:eastAsia="zh-CN"/>
        </w:rPr>
      </w:pPr>
      <w:r>
        <w:rPr>
          <w:rFonts w:hint="eastAsia" w:asciiTheme="minorEastAsia" w:hAnsiTheme="minorEastAsia" w:eastAsiaTheme="minorEastAsia"/>
          <w:b/>
          <w:color w:val="auto"/>
          <w:sz w:val="32"/>
          <w:szCs w:val="32"/>
          <w:highlight w:val="none"/>
        </w:rPr>
        <w:t>采购项目名称：</w:t>
      </w:r>
      <w:bookmarkStart w:id="325" w:name="_GoBack"/>
      <w:r>
        <w:rPr>
          <w:rFonts w:hint="eastAsia" w:asciiTheme="minorEastAsia" w:hAnsiTheme="minorEastAsia" w:eastAsiaTheme="minorEastAsia"/>
          <w:b/>
          <w:color w:val="auto"/>
          <w:sz w:val="32"/>
          <w:szCs w:val="32"/>
          <w:highlight w:val="none"/>
          <w:u w:val="single"/>
          <w:lang w:val="en-US" w:eastAsia="zh-CN"/>
        </w:rPr>
        <w:t>南华大学附属第一医院污水处理站运营</w:t>
      </w:r>
    </w:p>
    <w:p>
      <w:pPr>
        <w:adjustRightInd w:val="0"/>
        <w:snapToGrid w:val="0"/>
        <w:spacing w:line="360" w:lineRule="auto"/>
        <w:ind w:left="958" w:leftChars="456" w:firstLine="2409" w:firstLineChars="750"/>
        <w:rPr>
          <w:rFonts w:hint="eastAsia" w:asciiTheme="minorEastAsia" w:hAnsiTheme="minorEastAsia" w:eastAsiaTheme="minorEastAsia"/>
          <w:b/>
          <w:color w:val="auto"/>
          <w:sz w:val="32"/>
          <w:szCs w:val="32"/>
          <w:highlight w:val="none"/>
          <w:u w:val="single"/>
          <w:lang w:val="en-US" w:eastAsia="zh-CN"/>
        </w:rPr>
      </w:pPr>
      <w:r>
        <w:rPr>
          <w:rFonts w:hint="eastAsia" w:asciiTheme="minorEastAsia" w:hAnsiTheme="minorEastAsia" w:eastAsiaTheme="minorEastAsia"/>
          <w:b/>
          <w:color w:val="auto"/>
          <w:sz w:val="32"/>
          <w:szCs w:val="32"/>
          <w:highlight w:val="none"/>
          <w:u w:val="single"/>
          <w:lang w:val="en-US" w:eastAsia="zh-CN"/>
        </w:rPr>
        <w:t>托管服务采购项目</w:t>
      </w:r>
      <w:bookmarkEnd w:id="325"/>
      <w:r>
        <w:rPr>
          <w:rFonts w:hint="eastAsia" w:asciiTheme="minorEastAsia" w:hAnsiTheme="minorEastAsia" w:eastAsiaTheme="minorEastAsia"/>
          <w:b/>
          <w:color w:val="auto"/>
          <w:sz w:val="32"/>
          <w:szCs w:val="32"/>
          <w:highlight w:val="none"/>
          <w:u w:val="single"/>
          <w:lang w:val="en-US" w:eastAsia="zh-CN"/>
        </w:rPr>
        <w:t>重新立项</w:t>
      </w:r>
    </w:p>
    <w:p>
      <w:pPr>
        <w:adjustRightInd w:val="0"/>
        <w:snapToGrid w:val="0"/>
        <w:spacing w:line="360" w:lineRule="auto"/>
        <w:ind w:firstLine="1124" w:firstLineChars="350"/>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采</w:t>
      </w:r>
      <w:r>
        <w:rPr>
          <w:rFonts w:asciiTheme="minorEastAsia" w:hAnsiTheme="minorEastAsia" w:eastAsiaTheme="minorEastAsia"/>
          <w:b/>
          <w:color w:val="auto"/>
          <w:sz w:val="32"/>
          <w:szCs w:val="32"/>
          <w:highlight w:val="none"/>
        </w:rPr>
        <w:t xml:space="preserve">   </w:t>
      </w:r>
      <w:r>
        <w:rPr>
          <w:rFonts w:hint="eastAsia" w:asciiTheme="minorEastAsia" w:hAnsiTheme="minorEastAsia" w:eastAsiaTheme="minorEastAsia"/>
          <w:b/>
          <w:color w:val="auto"/>
          <w:sz w:val="32"/>
          <w:szCs w:val="32"/>
          <w:highlight w:val="none"/>
        </w:rPr>
        <w:t>购</w:t>
      </w:r>
      <w:r>
        <w:rPr>
          <w:rFonts w:asciiTheme="minorEastAsia" w:hAnsiTheme="minorEastAsia" w:eastAsiaTheme="minorEastAsia"/>
          <w:b/>
          <w:color w:val="auto"/>
          <w:sz w:val="32"/>
          <w:szCs w:val="32"/>
          <w:highlight w:val="none"/>
        </w:rPr>
        <w:t xml:space="preserve">   </w:t>
      </w:r>
      <w:r>
        <w:rPr>
          <w:rFonts w:hint="eastAsia" w:asciiTheme="minorEastAsia" w:hAnsiTheme="minorEastAsia" w:eastAsiaTheme="minorEastAsia"/>
          <w:b/>
          <w:color w:val="auto"/>
          <w:sz w:val="32"/>
          <w:szCs w:val="32"/>
          <w:highlight w:val="none"/>
        </w:rPr>
        <w:t>人：</w:t>
      </w:r>
      <w:r>
        <w:rPr>
          <w:rFonts w:hint="eastAsia" w:asciiTheme="minorEastAsia" w:hAnsiTheme="minorEastAsia" w:eastAsiaTheme="minorEastAsia"/>
          <w:b/>
          <w:color w:val="auto"/>
          <w:sz w:val="32"/>
          <w:szCs w:val="32"/>
          <w:highlight w:val="none"/>
          <w:u w:val="single"/>
          <w:lang w:val="en-US" w:eastAsia="zh-CN"/>
        </w:rPr>
        <w:t>南华大学附属第一医院</w:t>
      </w:r>
    </w:p>
    <w:p>
      <w:pPr>
        <w:adjustRightInd w:val="0"/>
        <w:snapToGrid w:val="0"/>
        <w:spacing w:line="360" w:lineRule="auto"/>
        <w:ind w:firstLine="1124" w:firstLineChars="350"/>
        <w:rPr>
          <w:rFonts w:hint="eastAsia" w:asciiTheme="minorEastAsia" w:hAnsiTheme="minorEastAsia" w:eastAsiaTheme="minorEastAsia"/>
          <w:b/>
          <w:color w:val="auto"/>
          <w:sz w:val="32"/>
          <w:szCs w:val="32"/>
          <w:highlight w:val="none"/>
          <w:u w:val="single"/>
          <w:lang w:eastAsia="zh-CN"/>
        </w:rPr>
      </w:pPr>
      <w:r>
        <w:rPr>
          <w:rFonts w:hint="eastAsia" w:asciiTheme="minorEastAsia" w:hAnsiTheme="minorEastAsia" w:eastAsiaTheme="minorEastAsia"/>
          <w:b/>
          <w:color w:val="auto"/>
          <w:sz w:val="32"/>
          <w:szCs w:val="32"/>
          <w:highlight w:val="none"/>
          <w:lang w:eastAsia="zh-CN"/>
        </w:rPr>
        <w:t>政府采购编号：</w:t>
      </w:r>
      <w:r>
        <w:rPr>
          <w:rFonts w:hint="eastAsia" w:asciiTheme="minorEastAsia" w:hAnsiTheme="minorEastAsia" w:eastAsiaTheme="minorEastAsia"/>
          <w:b/>
          <w:color w:val="auto"/>
          <w:sz w:val="32"/>
          <w:szCs w:val="32"/>
          <w:highlight w:val="none"/>
          <w:u w:val="single"/>
          <w:lang w:eastAsia="zh-CN"/>
        </w:rPr>
        <w:t>湘财采计[2021]000437号</w:t>
      </w:r>
    </w:p>
    <w:p>
      <w:pPr>
        <w:adjustRightInd w:val="0"/>
        <w:snapToGrid w:val="0"/>
        <w:spacing w:line="360" w:lineRule="auto"/>
        <w:ind w:firstLine="1124" w:firstLineChars="350"/>
        <w:rPr>
          <w:rFonts w:hint="eastAsia" w:asciiTheme="minorEastAsia" w:hAnsiTheme="minorEastAsia" w:eastAsiaTheme="minorEastAsia"/>
          <w:b/>
          <w:color w:val="auto"/>
          <w:sz w:val="32"/>
          <w:szCs w:val="32"/>
          <w:highlight w:val="none"/>
          <w:u w:val="single"/>
          <w:lang w:val="en-US" w:eastAsia="zh-CN"/>
        </w:rPr>
      </w:pPr>
      <w:r>
        <w:rPr>
          <w:rFonts w:hint="eastAsia" w:asciiTheme="minorEastAsia" w:hAnsiTheme="minorEastAsia" w:eastAsiaTheme="minorEastAsia"/>
          <w:b/>
          <w:color w:val="auto"/>
          <w:sz w:val="32"/>
          <w:szCs w:val="32"/>
          <w:highlight w:val="none"/>
        </w:rPr>
        <w:t>采购代理编号：</w:t>
      </w:r>
      <w:r>
        <w:rPr>
          <w:rFonts w:hint="eastAsia" w:asciiTheme="minorEastAsia" w:hAnsiTheme="minorEastAsia" w:eastAsiaTheme="minorEastAsia"/>
          <w:b/>
          <w:color w:val="auto"/>
          <w:sz w:val="32"/>
          <w:szCs w:val="32"/>
          <w:highlight w:val="none"/>
          <w:u w:val="single"/>
          <w:lang w:eastAsia="zh-CN"/>
        </w:rPr>
        <w:t>JTZX2021-FWZB-HY010</w:t>
      </w:r>
    </w:p>
    <w:p>
      <w:pPr>
        <w:adjustRightInd w:val="0"/>
        <w:snapToGrid w:val="0"/>
        <w:spacing w:line="360" w:lineRule="auto"/>
        <w:ind w:firstLine="1124" w:firstLineChars="350"/>
        <w:rPr>
          <w:rFonts w:asciiTheme="minorEastAsia" w:hAnsiTheme="minorEastAsia" w:eastAsiaTheme="minorEastAsia"/>
          <w:b/>
          <w:color w:val="auto"/>
          <w:sz w:val="32"/>
          <w:szCs w:val="21"/>
          <w:highlight w:val="none"/>
        </w:rPr>
      </w:pPr>
      <w:r>
        <w:rPr>
          <w:rFonts w:hint="eastAsia" w:asciiTheme="minorEastAsia" w:hAnsiTheme="minorEastAsia" w:eastAsiaTheme="minorEastAsia"/>
          <w:b/>
          <w:color w:val="auto"/>
          <w:sz w:val="32"/>
          <w:szCs w:val="21"/>
          <w:highlight w:val="none"/>
        </w:rPr>
        <w:t>采购代理机构：</w:t>
      </w:r>
      <w:r>
        <w:rPr>
          <w:rFonts w:hint="eastAsia" w:asciiTheme="minorEastAsia" w:hAnsiTheme="minorEastAsia" w:eastAsiaTheme="minorEastAsia"/>
          <w:b/>
          <w:color w:val="auto"/>
          <w:sz w:val="32"/>
          <w:szCs w:val="21"/>
          <w:highlight w:val="none"/>
          <w:u w:val="single"/>
          <w:lang w:val="en-US" w:eastAsia="zh-CN"/>
        </w:rPr>
        <w:t>阶梯项目咨询有限公司</w:t>
      </w:r>
    </w:p>
    <w:p>
      <w:pPr>
        <w:pStyle w:val="26"/>
        <w:adjustRightInd w:val="0"/>
        <w:snapToGrid w:val="0"/>
        <w:spacing w:line="360" w:lineRule="auto"/>
        <w:jc w:val="center"/>
        <w:rPr>
          <w:rFonts w:asciiTheme="minorEastAsia" w:hAnsiTheme="minorEastAsia" w:eastAsiaTheme="minorEastAsia"/>
          <w:bCs/>
          <w:color w:val="auto"/>
          <w:sz w:val="32"/>
          <w:szCs w:val="32"/>
          <w:highlight w:val="none"/>
        </w:rPr>
      </w:pPr>
    </w:p>
    <w:p>
      <w:pPr>
        <w:pStyle w:val="26"/>
        <w:adjustRightInd w:val="0"/>
        <w:snapToGrid w:val="0"/>
        <w:spacing w:line="240" w:lineRule="atLeast"/>
        <w:jc w:val="center"/>
        <w:rPr>
          <w:rFonts w:asciiTheme="minorEastAsia" w:hAnsiTheme="minorEastAsia" w:eastAsiaTheme="minorEastAsia"/>
          <w:bCs/>
          <w:color w:val="auto"/>
          <w:sz w:val="32"/>
          <w:szCs w:val="32"/>
          <w:highlight w:val="none"/>
        </w:rPr>
      </w:pPr>
    </w:p>
    <w:p>
      <w:pPr>
        <w:pStyle w:val="26"/>
        <w:adjustRightInd w:val="0"/>
        <w:snapToGrid w:val="0"/>
        <w:spacing w:line="240" w:lineRule="atLeast"/>
        <w:jc w:val="center"/>
        <w:rPr>
          <w:rFonts w:asciiTheme="minorEastAsia" w:hAnsiTheme="minorEastAsia" w:eastAsiaTheme="minorEastAsia"/>
          <w:bCs/>
          <w:color w:val="auto"/>
          <w:sz w:val="32"/>
          <w:szCs w:val="32"/>
          <w:highlight w:val="none"/>
        </w:rPr>
      </w:pPr>
    </w:p>
    <w:p>
      <w:pPr>
        <w:pStyle w:val="2"/>
        <w:ind w:left="0" w:leftChars="0" w:firstLine="0" w:firstLineChars="0"/>
      </w:pPr>
    </w:p>
    <w:p>
      <w:pPr>
        <w:pStyle w:val="26"/>
        <w:adjustRightInd w:val="0"/>
        <w:snapToGrid w:val="0"/>
        <w:spacing w:line="240" w:lineRule="atLeast"/>
        <w:jc w:val="center"/>
        <w:rPr>
          <w:rFonts w:asciiTheme="minorEastAsia" w:hAnsiTheme="minorEastAsia" w:eastAsiaTheme="minorEastAsia"/>
          <w:bCs/>
          <w:color w:val="auto"/>
          <w:sz w:val="32"/>
          <w:szCs w:val="32"/>
          <w:highlight w:val="none"/>
        </w:rPr>
      </w:pPr>
    </w:p>
    <w:p>
      <w:pPr>
        <w:pStyle w:val="26"/>
        <w:adjustRightInd w:val="0"/>
        <w:snapToGrid w:val="0"/>
        <w:spacing w:line="240" w:lineRule="atLeast"/>
        <w:jc w:val="center"/>
        <w:rPr>
          <w:rFonts w:asciiTheme="minorEastAsia" w:hAnsiTheme="minorEastAsia" w:eastAsiaTheme="minorEastAsia"/>
          <w:bCs/>
          <w:color w:val="auto"/>
          <w:sz w:val="32"/>
          <w:szCs w:val="32"/>
          <w:highlight w:val="none"/>
        </w:rPr>
      </w:pPr>
    </w:p>
    <w:p>
      <w:pPr>
        <w:pStyle w:val="26"/>
        <w:adjustRightInd w:val="0"/>
        <w:snapToGrid w:val="0"/>
        <w:spacing w:line="240" w:lineRule="atLeast"/>
        <w:jc w:val="both"/>
        <w:rPr>
          <w:rFonts w:asciiTheme="minorEastAsia" w:hAnsiTheme="minorEastAsia" w:eastAsiaTheme="minorEastAsia"/>
          <w:bCs/>
          <w:color w:val="auto"/>
          <w:sz w:val="32"/>
          <w:szCs w:val="32"/>
          <w:highlight w:val="none"/>
        </w:rPr>
      </w:pPr>
    </w:p>
    <w:p>
      <w:pPr>
        <w:pStyle w:val="26"/>
        <w:adjustRightInd w:val="0"/>
        <w:snapToGrid w:val="0"/>
        <w:spacing w:line="240" w:lineRule="atLeast"/>
        <w:jc w:val="center"/>
        <w:rPr>
          <w:rFonts w:asciiTheme="minorEastAsia" w:hAnsiTheme="minorEastAsia" w:eastAsiaTheme="minorEastAsia"/>
          <w:bCs/>
          <w:color w:val="auto"/>
          <w:sz w:val="32"/>
          <w:szCs w:val="32"/>
          <w:highlight w:val="none"/>
        </w:rPr>
      </w:pPr>
    </w:p>
    <w:p>
      <w:pPr>
        <w:pStyle w:val="26"/>
        <w:adjustRightInd w:val="0"/>
        <w:snapToGrid w:val="0"/>
        <w:spacing w:line="240" w:lineRule="atLeast"/>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color w:val="auto"/>
          <w:sz w:val="32"/>
          <w:highlight w:val="none"/>
        </w:rPr>
        <w:t>202</w:t>
      </w:r>
      <w:r>
        <w:rPr>
          <w:rFonts w:hint="eastAsia" w:asciiTheme="minorEastAsia" w:hAnsiTheme="minorEastAsia" w:eastAsiaTheme="minorEastAsia"/>
          <w:b/>
          <w:color w:val="auto"/>
          <w:sz w:val="32"/>
          <w:highlight w:val="none"/>
          <w:lang w:val="en-US" w:eastAsia="zh-CN"/>
        </w:rPr>
        <w:t>1</w:t>
      </w:r>
      <w:r>
        <w:rPr>
          <w:rFonts w:hint="eastAsia" w:asciiTheme="minorEastAsia" w:hAnsiTheme="minorEastAsia" w:eastAsiaTheme="minorEastAsia"/>
          <w:b/>
          <w:color w:val="auto"/>
          <w:sz w:val="32"/>
          <w:highlight w:val="none"/>
        </w:rPr>
        <w:t>年</w:t>
      </w:r>
      <w:r>
        <w:rPr>
          <w:rFonts w:hint="eastAsia" w:asciiTheme="minorEastAsia" w:hAnsiTheme="minorEastAsia" w:eastAsiaTheme="minorEastAsia"/>
          <w:b/>
          <w:color w:val="auto"/>
          <w:sz w:val="32"/>
          <w:highlight w:val="none"/>
          <w:lang w:val="en-US" w:eastAsia="zh-CN"/>
        </w:rPr>
        <w:t>5</w:t>
      </w:r>
      <w:r>
        <w:rPr>
          <w:rFonts w:hint="eastAsia" w:asciiTheme="minorEastAsia" w:hAnsiTheme="minorEastAsia" w:eastAsiaTheme="minorEastAsia"/>
          <w:b/>
          <w:color w:val="auto"/>
          <w:sz w:val="32"/>
          <w:highlight w:val="none"/>
        </w:rPr>
        <w:t>月</w:t>
      </w:r>
    </w:p>
    <w:sdt>
      <w:sdtPr>
        <w:rPr>
          <w:rFonts w:ascii="宋体" w:hAnsi="宋体" w:eastAsia="宋体" w:cs="Times New Roman"/>
          <w:kern w:val="2"/>
          <w:sz w:val="21"/>
          <w:szCs w:val="24"/>
          <w:lang w:val="en-US" w:eastAsia="zh-CN" w:bidi="ar-SA"/>
        </w:rPr>
        <w:id w:val="147454259"/>
        <w15:color w:val="DBDBDB"/>
        <w:docPartObj>
          <w:docPartGallery w:val="Table of Contents"/>
          <w:docPartUnique/>
        </w:docPartObj>
      </w:sdtPr>
      <w:sdtEndPr>
        <w:rPr>
          <w:rFonts w:hint="eastAsia" w:ascii="宋体" w:hAnsi="宋体" w:eastAsia="宋体" w:cs="宋体"/>
          <w:b/>
          <w:bCs/>
          <w:kern w:val="2"/>
          <w:sz w:val="24"/>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footerReference r:id="rId4" w:type="default"/>
              <w:pgSz w:w="11906" w:h="16838"/>
              <w:pgMar w:top="1020" w:right="1587" w:bottom="1191" w:left="1587" w:header="851" w:footer="992" w:gutter="0"/>
              <w:pgNumType w:fmt="numberInDash"/>
              <w:cols w:space="0" w:num="1"/>
              <w:docGrid w:type="lines" w:linePitch="312" w:charSpace="0"/>
            </w:sectPr>
          </w:pPr>
          <w:bookmarkStart w:id="0" w:name="_Toc21415"/>
        </w:p>
        <w:p>
          <w:pPr>
            <w:spacing w:before="0" w:beforeLines="0" w:after="0" w:afterLines="0" w:line="240" w:lineRule="auto"/>
            <w:ind w:left="0" w:leftChars="0" w:right="0" w:rightChars="0" w:firstLine="0" w:firstLineChars="0"/>
            <w:jc w:val="center"/>
            <w:rPr>
              <w:b/>
              <w:bCs/>
              <w:sz w:val="30"/>
              <w:szCs w:val="30"/>
            </w:rPr>
          </w:pPr>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"1-3" \h \u </w:instrText>
          </w:r>
          <w:r>
            <w:rPr>
              <w:rFonts w:hint="eastAsia" w:ascii="黑体" w:hAnsi="黑体" w:eastAsia="黑体" w:cs="黑体"/>
              <w:sz w:val="32"/>
              <w:szCs w:val="32"/>
            </w:rPr>
            <w:fldChar w:fldCharType="separate"/>
          </w:r>
          <w:r>
            <w:rPr>
              <w:rFonts w:hint="eastAsia" w:ascii="黑体" w:hAnsi="黑体" w:eastAsia="黑体" w:cs="黑体"/>
              <w:szCs w:val="32"/>
            </w:rPr>
            <w:fldChar w:fldCharType="begin"/>
          </w:r>
          <w:r>
            <w:rPr>
              <w:rFonts w:hint="eastAsia" w:ascii="黑体" w:hAnsi="黑体" w:eastAsia="黑体" w:cs="黑体"/>
              <w:szCs w:val="32"/>
            </w:rPr>
            <w:instrText xml:space="preserve"> HYPERLINK \l _Toc29883 </w:instrText>
          </w:r>
          <w:r>
            <w:rPr>
              <w:rFonts w:hint="eastAsia" w:ascii="黑体" w:hAnsi="黑体" w:eastAsia="黑体" w:cs="黑体"/>
              <w:szCs w:val="32"/>
            </w:rPr>
            <w:fldChar w:fldCharType="separate"/>
          </w:r>
          <w:r>
            <w:rPr>
              <w:rFonts w:hint="eastAsia" w:ascii="黑体" w:hAnsi="黑体" w:eastAsia="黑体" w:cs="黑体"/>
              <w:szCs w:val="32"/>
            </w:rPr>
            <w:t>第一章 投标邀请（公开招标）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_Toc29883 \h </w:instrText>
          </w:r>
          <w:r>
            <w:rPr>
              <w:rFonts w:hint="eastAsia" w:ascii="黑体" w:hAnsi="黑体" w:eastAsia="黑体" w:cs="黑体"/>
            </w:rPr>
            <w:fldChar w:fldCharType="separate"/>
          </w:r>
          <w:r>
            <w:rPr>
              <w:rFonts w:hint="eastAsia" w:ascii="黑体" w:hAnsi="黑体" w:eastAsia="黑体" w:cs="黑体"/>
            </w:rPr>
            <w:t>- 4 -</w:t>
          </w:r>
          <w:r>
            <w:rPr>
              <w:rFonts w:hint="eastAsia" w:ascii="黑体" w:hAnsi="黑体" w:eastAsia="黑体" w:cs="黑体"/>
            </w:rPr>
            <w:fldChar w:fldCharType="end"/>
          </w:r>
          <w:r>
            <w:rPr>
              <w:rFonts w:hint="eastAsia" w:ascii="黑体" w:hAnsi="黑体" w:eastAsia="黑体" w:cs="黑体"/>
              <w:szCs w:val="32"/>
            </w:rPr>
            <w:fldChar w:fldCharType="end"/>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_Toc15590 </w:instrText>
          </w:r>
          <w:r>
            <w:rPr>
              <w:rFonts w:hint="eastAsia" w:ascii="黑体" w:hAnsi="黑体" w:eastAsia="黑体" w:cs="黑体"/>
              <w:szCs w:val="32"/>
            </w:rPr>
            <w:fldChar w:fldCharType="separate"/>
          </w:r>
          <w:r>
            <w:rPr>
              <w:rFonts w:hint="eastAsia" w:ascii="黑体" w:hAnsi="黑体" w:eastAsia="黑体" w:cs="黑体"/>
              <w:szCs w:val="32"/>
            </w:rPr>
            <w:t>第二章 投标须知</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_Toc15590 \h </w:instrText>
          </w:r>
          <w:r>
            <w:rPr>
              <w:rFonts w:hint="eastAsia" w:ascii="黑体" w:hAnsi="黑体" w:eastAsia="黑体" w:cs="黑体"/>
            </w:rPr>
            <w:fldChar w:fldCharType="separate"/>
          </w:r>
          <w:r>
            <w:rPr>
              <w:rFonts w:hint="eastAsia" w:ascii="黑体" w:hAnsi="黑体" w:eastAsia="黑体" w:cs="黑体"/>
            </w:rPr>
            <w:t>- 6 -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_Toc4260 </w:instrText>
          </w:r>
          <w:r>
            <w:rPr>
              <w:rFonts w:hint="eastAsia" w:ascii="黑体" w:hAnsi="黑体" w:eastAsia="黑体" w:cs="黑体"/>
              <w:szCs w:val="32"/>
            </w:rPr>
            <w:fldChar w:fldCharType="separate"/>
          </w:r>
          <w:r>
            <w:rPr>
              <w:rFonts w:hint="eastAsia" w:ascii="黑体" w:hAnsi="黑体" w:eastAsia="黑体" w:cs="黑体"/>
              <w:szCs w:val="28"/>
            </w:rPr>
            <w:t>投标须知前附表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_Toc4260 \h </w:instrText>
          </w:r>
          <w:r>
            <w:rPr>
              <w:rFonts w:hint="eastAsia" w:ascii="黑体" w:hAnsi="黑体" w:eastAsia="黑体" w:cs="黑体"/>
            </w:rPr>
            <w:fldChar w:fldCharType="separate"/>
          </w:r>
          <w:r>
            <w:rPr>
              <w:rFonts w:hint="eastAsia" w:ascii="黑体" w:hAnsi="黑体" w:eastAsia="黑体" w:cs="黑体"/>
            </w:rPr>
            <w:t>- 6 -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_Toc21656 </w:instrText>
          </w:r>
          <w:r>
            <w:rPr>
              <w:rFonts w:hint="eastAsia" w:ascii="黑体" w:hAnsi="黑体" w:eastAsia="黑体" w:cs="黑体"/>
              <w:szCs w:val="32"/>
            </w:rPr>
            <w:fldChar w:fldCharType="separate"/>
          </w:r>
          <w:r>
            <w:rPr>
              <w:rFonts w:hint="eastAsia" w:ascii="黑体" w:hAnsi="黑体" w:eastAsia="黑体" w:cs="黑体"/>
              <w:szCs w:val="28"/>
            </w:rPr>
            <w:t>投标须知正文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_Toc21656 \h </w:instrText>
          </w:r>
          <w:r>
            <w:rPr>
              <w:rFonts w:hint="eastAsia" w:ascii="黑体" w:hAnsi="黑体" w:eastAsia="黑体" w:cs="黑体"/>
            </w:rPr>
            <w:fldChar w:fldCharType="separate"/>
          </w:r>
          <w:r>
            <w:rPr>
              <w:rFonts w:hint="eastAsia" w:ascii="黑体" w:hAnsi="黑体" w:eastAsia="黑体" w:cs="黑体"/>
            </w:rPr>
            <w:t>- 11 -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_Toc16223 </w:instrText>
          </w:r>
          <w:r>
            <w:rPr>
              <w:rFonts w:hint="eastAsia" w:ascii="黑体" w:hAnsi="黑体" w:eastAsia="黑体" w:cs="黑体"/>
              <w:szCs w:val="32"/>
            </w:rPr>
            <w:fldChar w:fldCharType="separate"/>
          </w:r>
          <w:r>
            <w:rPr>
              <w:rFonts w:hint="eastAsia" w:ascii="黑体" w:hAnsi="黑体" w:eastAsia="黑体" w:cs="黑体"/>
              <w:szCs w:val="28"/>
            </w:rPr>
            <w:t>一、总则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_Toc16223 \h </w:instrText>
          </w:r>
          <w:r>
            <w:rPr>
              <w:rFonts w:hint="eastAsia" w:ascii="黑体" w:hAnsi="黑体" w:eastAsia="黑体" w:cs="黑体"/>
            </w:rPr>
            <w:fldChar w:fldCharType="separate"/>
          </w:r>
          <w:r>
            <w:rPr>
              <w:rFonts w:hint="eastAsia" w:ascii="黑体" w:hAnsi="黑体" w:eastAsia="黑体" w:cs="黑体"/>
            </w:rPr>
            <w:t>- 11 -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_Toc16020 </w:instrText>
          </w:r>
          <w:r>
            <w:rPr>
              <w:rFonts w:hint="eastAsia" w:ascii="黑体" w:hAnsi="黑体" w:eastAsia="黑体" w:cs="黑体"/>
              <w:szCs w:val="32"/>
            </w:rPr>
            <w:fldChar w:fldCharType="separate"/>
          </w:r>
          <w:r>
            <w:rPr>
              <w:rFonts w:hint="eastAsia" w:ascii="黑体" w:hAnsi="黑体" w:eastAsia="黑体" w:cs="黑体"/>
              <w:szCs w:val="28"/>
            </w:rPr>
            <w:t>二、招标文件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_Toc16020 \h </w:instrText>
          </w:r>
          <w:r>
            <w:rPr>
              <w:rFonts w:hint="eastAsia" w:ascii="黑体" w:hAnsi="黑体" w:eastAsia="黑体" w:cs="黑体"/>
            </w:rPr>
            <w:fldChar w:fldCharType="separate"/>
          </w:r>
          <w:r>
            <w:rPr>
              <w:rFonts w:hint="eastAsia" w:ascii="黑体" w:hAnsi="黑体" w:eastAsia="黑体" w:cs="黑体"/>
            </w:rPr>
            <w:t>- 12 -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_Toc6154 </w:instrText>
          </w:r>
          <w:r>
            <w:rPr>
              <w:rFonts w:hint="eastAsia" w:ascii="黑体" w:hAnsi="黑体" w:eastAsia="黑体" w:cs="黑体"/>
              <w:szCs w:val="32"/>
            </w:rPr>
            <w:fldChar w:fldCharType="separate"/>
          </w:r>
          <w:r>
            <w:rPr>
              <w:rFonts w:hint="eastAsia" w:ascii="黑体" w:hAnsi="黑体" w:eastAsia="黑体" w:cs="黑体"/>
              <w:szCs w:val="28"/>
            </w:rPr>
            <w:t>三、投标文件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_Toc6154 \h </w:instrText>
          </w:r>
          <w:r>
            <w:rPr>
              <w:rFonts w:hint="eastAsia" w:ascii="黑体" w:hAnsi="黑体" w:eastAsia="黑体" w:cs="黑体"/>
            </w:rPr>
            <w:fldChar w:fldCharType="separate"/>
          </w:r>
          <w:r>
            <w:rPr>
              <w:rFonts w:hint="eastAsia" w:ascii="黑体" w:hAnsi="黑体" w:eastAsia="黑体" w:cs="黑体"/>
            </w:rPr>
            <w:t>- 13 -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_Toc1374 </w:instrText>
          </w:r>
          <w:r>
            <w:rPr>
              <w:rFonts w:hint="eastAsia" w:ascii="黑体" w:hAnsi="黑体" w:eastAsia="黑体" w:cs="黑体"/>
              <w:szCs w:val="32"/>
            </w:rPr>
            <w:fldChar w:fldCharType="separate"/>
          </w:r>
          <w:r>
            <w:rPr>
              <w:rFonts w:hint="eastAsia" w:ascii="黑体" w:hAnsi="黑体" w:eastAsia="黑体" w:cs="黑体"/>
              <w:szCs w:val="28"/>
            </w:rPr>
            <w:t>四、投标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_Toc1374 \h </w:instrText>
          </w:r>
          <w:r>
            <w:rPr>
              <w:rFonts w:hint="eastAsia" w:ascii="黑体" w:hAnsi="黑体" w:eastAsia="黑体" w:cs="黑体"/>
            </w:rPr>
            <w:fldChar w:fldCharType="separate"/>
          </w:r>
          <w:r>
            <w:rPr>
              <w:rFonts w:hint="eastAsia" w:ascii="黑体" w:hAnsi="黑体" w:eastAsia="黑体" w:cs="黑体"/>
            </w:rPr>
            <w:t>- 17 -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_Toc4971 </w:instrText>
          </w:r>
          <w:r>
            <w:rPr>
              <w:rFonts w:hint="eastAsia" w:ascii="黑体" w:hAnsi="黑体" w:eastAsia="黑体" w:cs="黑体"/>
              <w:szCs w:val="32"/>
            </w:rPr>
            <w:fldChar w:fldCharType="separate"/>
          </w:r>
          <w:r>
            <w:rPr>
              <w:rFonts w:hint="eastAsia" w:ascii="黑体" w:hAnsi="黑体" w:eastAsia="黑体" w:cs="黑体"/>
              <w:szCs w:val="28"/>
            </w:rPr>
            <w:t>五、开标，资格审查和评标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_Toc4971 \h </w:instrText>
          </w:r>
          <w:r>
            <w:rPr>
              <w:rFonts w:hint="eastAsia" w:ascii="黑体" w:hAnsi="黑体" w:eastAsia="黑体" w:cs="黑体"/>
            </w:rPr>
            <w:fldChar w:fldCharType="separate"/>
          </w:r>
          <w:r>
            <w:rPr>
              <w:rFonts w:hint="eastAsia" w:ascii="黑体" w:hAnsi="黑体" w:eastAsia="黑体" w:cs="黑体"/>
            </w:rPr>
            <w:t>- 19 -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_Toc23958 </w:instrText>
          </w:r>
          <w:r>
            <w:rPr>
              <w:rFonts w:hint="eastAsia" w:ascii="黑体" w:hAnsi="黑体" w:eastAsia="黑体" w:cs="黑体"/>
              <w:szCs w:val="32"/>
            </w:rPr>
            <w:fldChar w:fldCharType="separate"/>
          </w:r>
          <w:r>
            <w:rPr>
              <w:rFonts w:hint="eastAsia" w:ascii="黑体" w:hAnsi="黑体" w:eastAsia="黑体" w:cs="黑体"/>
              <w:szCs w:val="28"/>
            </w:rPr>
            <w:t>六、中标信息公布</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_Toc23958 \h </w:instrText>
          </w:r>
          <w:r>
            <w:rPr>
              <w:rFonts w:hint="eastAsia" w:ascii="黑体" w:hAnsi="黑体" w:eastAsia="黑体" w:cs="黑体"/>
            </w:rPr>
            <w:fldChar w:fldCharType="separate"/>
          </w:r>
          <w:r>
            <w:rPr>
              <w:rFonts w:hint="eastAsia" w:ascii="黑体" w:hAnsi="黑体" w:eastAsia="黑体" w:cs="黑体"/>
            </w:rPr>
            <w:t>- 21 -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_Toc32470 </w:instrText>
          </w:r>
          <w:r>
            <w:rPr>
              <w:rFonts w:hint="eastAsia" w:ascii="黑体" w:hAnsi="黑体" w:eastAsia="黑体" w:cs="黑体"/>
              <w:szCs w:val="32"/>
            </w:rPr>
            <w:fldChar w:fldCharType="separate"/>
          </w:r>
          <w:r>
            <w:rPr>
              <w:rFonts w:hint="eastAsia" w:ascii="黑体" w:hAnsi="黑体" w:eastAsia="黑体" w:cs="黑体"/>
              <w:szCs w:val="28"/>
            </w:rPr>
            <w:t>七、合同签订</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_Toc32470 \h </w:instrText>
          </w:r>
          <w:r>
            <w:rPr>
              <w:rFonts w:hint="eastAsia" w:ascii="黑体" w:hAnsi="黑体" w:eastAsia="黑体" w:cs="黑体"/>
            </w:rPr>
            <w:fldChar w:fldCharType="separate"/>
          </w:r>
          <w:r>
            <w:rPr>
              <w:rFonts w:hint="eastAsia" w:ascii="黑体" w:hAnsi="黑体" w:eastAsia="黑体" w:cs="黑体"/>
            </w:rPr>
            <w:t>- 21 -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_Toc17856 </w:instrText>
          </w:r>
          <w:r>
            <w:rPr>
              <w:rFonts w:hint="eastAsia" w:ascii="黑体" w:hAnsi="黑体" w:eastAsia="黑体" w:cs="黑体"/>
              <w:szCs w:val="32"/>
            </w:rPr>
            <w:fldChar w:fldCharType="separate"/>
          </w:r>
          <w:r>
            <w:rPr>
              <w:rFonts w:hint="eastAsia" w:ascii="黑体" w:hAnsi="黑体" w:eastAsia="黑体" w:cs="黑体"/>
              <w:szCs w:val="28"/>
            </w:rPr>
            <w:t>八、其他规定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_Toc17856 \h </w:instrText>
          </w:r>
          <w:r>
            <w:rPr>
              <w:rFonts w:hint="eastAsia" w:ascii="黑体" w:hAnsi="黑体" w:eastAsia="黑体" w:cs="黑体"/>
            </w:rPr>
            <w:fldChar w:fldCharType="separate"/>
          </w:r>
          <w:r>
            <w:rPr>
              <w:rFonts w:hint="eastAsia" w:ascii="黑体" w:hAnsi="黑体" w:eastAsia="黑体" w:cs="黑体"/>
            </w:rPr>
            <w:t>- 22 -</w:t>
          </w:r>
          <w:r>
            <w:rPr>
              <w:rFonts w:hint="eastAsia" w:ascii="黑体" w:hAnsi="黑体" w:eastAsia="黑体" w:cs="黑体"/>
            </w:rPr>
            <w:fldChar w:fldCharType="end"/>
          </w:r>
          <w:r>
            <w:rPr>
              <w:rFonts w:hint="eastAsia" w:ascii="黑体" w:hAnsi="黑体" w:eastAsia="黑体" w:cs="黑体"/>
              <w:szCs w:val="32"/>
            </w:rPr>
            <w:fldChar w:fldCharType="end"/>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_Toc13105 </w:instrText>
          </w:r>
          <w:r>
            <w:rPr>
              <w:rFonts w:hint="eastAsia" w:ascii="黑体" w:hAnsi="黑体" w:eastAsia="黑体" w:cs="黑体"/>
              <w:szCs w:val="32"/>
            </w:rPr>
            <w:fldChar w:fldCharType="separate"/>
          </w:r>
          <w:r>
            <w:rPr>
              <w:rFonts w:hint="eastAsia" w:ascii="黑体" w:hAnsi="黑体" w:eastAsia="黑体" w:cs="黑体"/>
              <w:szCs w:val="32"/>
            </w:rPr>
            <w:t>第三章 资格审查</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_Toc13105 \h </w:instrText>
          </w:r>
          <w:r>
            <w:rPr>
              <w:rFonts w:hint="eastAsia" w:ascii="黑体" w:hAnsi="黑体" w:eastAsia="黑体" w:cs="黑体"/>
            </w:rPr>
            <w:fldChar w:fldCharType="separate"/>
          </w:r>
          <w:r>
            <w:rPr>
              <w:rFonts w:hint="eastAsia" w:ascii="黑体" w:hAnsi="黑体" w:eastAsia="黑体" w:cs="黑体"/>
            </w:rPr>
            <w:t>- 25 -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_Toc7615 </w:instrText>
          </w:r>
          <w:r>
            <w:rPr>
              <w:rFonts w:hint="eastAsia" w:ascii="黑体" w:hAnsi="黑体" w:eastAsia="黑体" w:cs="黑体"/>
              <w:szCs w:val="32"/>
            </w:rPr>
            <w:fldChar w:fldCharType="separate"/>
          </w:r>
          <w:r>
            <w:rPr>
              <w:rFonts w:hint="eastAsia" w:ascii="黑体" w:hAnsi="黑体" w:eastAsia="黑体" w:cs="黑体"/>
              <w:szCs w:val="24"/>
            </w:rPr>
            <w:t>1．资格审查主体</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_Toc7615 \h </w:instrText>
          </w:r>
          <w:r>
            <w:rPr>
              <w:rFonts w:hint="eastAsia" w:ascii="黑体" w:hAnsi="黑体" w:eastAsia="黑体" w:cs="黑体"/>
            </w:rPr>
            <w:fldChar w:fldCharType="separate"/>
          </w:r>
          <w:r>
            <w:rPr>
              <w:rFonts w:hint="eastAsia" w:ascii="黑体" w:hAnsi="黑体" w:eastAsia="黑体" w:cs="黑体"/>
            </w:rPr>
            <w:t>- 25 -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_Toc6434 </w:instrText>
          </w:r>
          <w:r>
            <w:rPr>
              <w:rFonts w:hint="eastAsia" w:ascii="黑体" w:hAnsi="黑体" w:eastAsia="黑体" w:cs="黑体"/>
              <w:szCs w:val="32"/>
            </w:rPr>
            <w:fldChar w:fldCharType="separate"/>
          </w:r>
          <w:r>
            <w:rPr>
              <w:rFonts w:hint="eastAsia" w:ascii="黑体" w:hAnsi="黑体" w:eastAsia="黑体" w:cs="黑体"/>
              <w:szCs w:val="24"/>
            </w:rPr>
            <w:t>2．资格审查</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_Toc6434 \h </w:instrText>
          </w:r>
          <w:r>
            <w:rPr>
              <w:rFonts w:hint="eastAsia" w:ascii="黑体" w:hAnsi="黑体" w:eastAsia="黑体" w:cs="黑体"/>
            </w:rPr>
            <w:fldChar w:fldCharType="separate"/>
          </w:r>
          <w:r>
            <w:rPr>
              <w:rFonts w:hint="eastAsia" w:ascii="黑体" w:hAnsi="黑体" w:eastAsia="黑体" w:cs="黑体"/>
            </w:rPr>
            <w:t>- 25 -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_Toc15045 </w:instrText>
          </w:r>
          <w:r>
            <w:rPr>
              <w:rFonts w:hint="eastAsia" w:ascii="黑体" w:hAnsi="黑体" w:eastAsia="黑体" w:cs="黑体"/>
              <w:szCs w:val="32"/>
            </w:rPr>
            <w:fldChar w:fldCharType="separate"/>
          </w:r>
          <w:r>
            <w:rPr>
              <w:rFonts w:hint="eastAsia" w:ascii="黑体" w:hAnsi="黑体" w:eastAsia="黑体" w:cs="黑体"/>
              <w:szCs w:val="24"/>
            </w:rPr>
            <w:t>3．资格审查结果</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_Toc15045 \h </w:instrText>
          </w:r>
          <w:r>
            <w:rPr>
              <w:rFonts w:hint="eastAsia" w:ascii="黑体" w:hAnsi="黑体" w:eastAsia="黑体" w:cs="黑体"/>
            </w:rPr>
            <w:fldChar w:fldCharType="separate"/>
          </w:r>
          <w:r>
            <w:rPr>
              <w:rFonts w:hint="eastAsia" w:ascii="黑体" w:hAnsi="黑体" w:eastAsia="黑体" w:cs="黑体"/>
            </w:rPr>
            <w:t>- 26 -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_Toc2988 </w:instrText>
          </w:r>
          <w:r>
            <w:rPr>
              <w:rFonts w:hint="eastAsia" w:ascii="黑体" w:hAnsi="黑体" w:eastAsia="黑体" w:cs="黑体"/>
              <w:szCs w:val="32"/>
            </w:rPr>
            <w:fldChar w:fldCharType="separate"/>
          </w:r>
          <w:r>
            <w:rPr>
              <w:rFonts w:hint="eastAsia" w:ascii="黑体" w:hAnsi="黑体" w:eastAsia="黑体" w:cs="黑体"/>
              <w:szCs w:val="24"/>
            </w:rPr>
            <w:t>4．其他</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_Toc2988 \h </w:instrText>
          </w:r>
          <w:r>
            <w:rPr>
              <w:rFonts w:hint="eastAsia" w:ascii="黑体" w:hAnsi="黑体" w:eastAsia="黑体" w:cs="黑体"/>
            </w:rPr>
            <w:fldChar w:fldCharType="separate"/>
          </w:r>
          <w:r>
            <w:rPr>
              <w:rFonts w:hint="eastAsia" w:ascii="黑体" w:hAnsi="黑体" w:eastAsia="黑体" w:cs="黑体"/>
            </w:rPr>
            <w:t>- 26 -</w:t>
          </w:r>
          <w:r>
            <w:rPr>
              <w:rFonts w:hint="eastAsia" w:ascii="黑体" w:hAnsi="黑体" w:eastAsia="黑体" w:cs="黑体"/>
            </w:rPr>
            <w:fldChar w:fldCharType="end"/>
          </w:r>
          <w:r>
            <w:rPr>
              <w:rFonts w:hint="eastAsia" w:ascii="黑体" w:hAnsi="黑体" w:eastAsia="黑体" w:cs="黑体"/>
              <w:szCs w:val="32"/>
            </w:rPr>
            <w:fldChar w:fldCharType="end"/>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_Toc25590 </w:instrText>
          </w:r>
          <w:r>
            <w:rPr>
              <w:rFonts w:hint="eastAsia" w:ascii="黑体" w:hAnsi="黑体" w:eastAsia="黑体" w:cs="黑体"/>
              <w:szCs w:val="32"/>
            </w:rPr>
            <w:fldChar w:fldCharType="separate"/>
          </w:r>
          <w:r>
            <w:rPr>
              <w:rFonts w:hint="eastAsia" w:ascii="黑体" w:hAnsi="黑体" w:eastAsia="黑体" w:cs="黑体"/>
              <w:szCs w:val="32"/>
            </w:rPr>
            <w:t>第四章 评标方法及标准（综合评分法）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_Toc25590 \h </w:instrText>
          </w:r>
          <w:r>
            <w:rPr>
              <w:rFonts w:hint="eastAsia" w:ascii="黑体" w:hAnsi="黑体" w:eastAsia="黑体" w:cs="黑体"/>
            </w:rPr>
            <w:fldChar w:fldCharType="separate"/>
          </w:r>
          <w:r>
            <w:rPr>
              <w:rFonts w:hint="eastAsia" w:ascii="黑体" w:hAnsi="黑体" w:eastAsia="黑体" w:cs="黑体"/>
            </w:rPr>
            <w:t>- 30 -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_Toc29899 </w:instrText>
          </w:r>
          <w:r>
            <w:rPr>
              <w:rFonts w:hint="eastAsia" w:ascii="黑体" w:hAnsi="黑体" w:eastAsia="黑体" w:cs="黑体"/>
              <w:szCs w:val="32"/>
            </w:rPr>
            <w:fldChar w:fldCharType="separate"/>
          </w:r>
          <w:r>
            <w:rPr>
              <w:rFonts w:hint="eastAsia" w:ascii="黑体" w:hAnsi="黑体" w:eastAsia="黑体" w:cs="黑体"/>
              <w:szCs w:val="28"/>
              <w:highlight w:val="none"/>
            </w:rPr>
            <w:t>第一节</w:t>
          </w:r>
          <w:r>
            <w:rPr>
              <w:rFonts w:hint="eastAsia" w:ascii="黑体" w:hAnsi="黑体" w:eastAsia="黑体" w:cs="黑体"/>
              <w:szCs w:val="28"/>
              <w:highlight w:val="none"/>
              <w:lang w:val="en-US" w:eastAsia="zh-CN"/>
            </w:rPr>
            <w:t xml:space="preserve"> </w:t>
          </w:r>
          <w:r>
            <w:rPr>
              <w:rFonts w:hint="eastAsia" w:ascii="黑体" w:hAnsi="黑体" w:eastAsia="黑体" w:cs="黑体"/>
              <w:szCs w:val="28"/>
              <w:highlight w:val="none"/>
            </w:rPr>
            <w:t>评标方法及标准前附表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_Toc29899 \h </w:instrText>
          </w:r>
          <w:r>
            <w:rPr>
              <w:rFonts w:hint="eastAsia" w:ascii="黑体" w:hAnsi="黑体" w:eastAsia="黑体" w:cs="黑体"/>
            </w:rPr>
            <w:fldChar w:fldCharType="separate"/>
          </w:r>
          <w:r>
            <w:rPr>
              <w:rFonts w:hint="eastAsia" w:ascii="黑体" w:hAnsi="黑体" w:eastAsia="黑体" w:cs="黑体"/>
            </w:rPr>
            <w:t>- 30 -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_Toc17697 </w:instrText>
          </w:r>
          <w:r>
            <w:rPr>
              <w:rFonts w:hint="eastAsia" w:ascii="黑体" w:hAnsi="黑体" w:eastAsia="黑体" w:cs="黑体"/>
              <w:szCs w:val="32"/>
            </w:rPr>
            <w:fldChar w:fldCharType="separate"/>
          </w:r>
          <w:r>
            <w:rPr>
              <w:rFonts w:hint="eastAsia" w:ascii="黑体" w:hAnsi="黑体" w:eastAsia="黑体" w:cs="黑体"/>
              <w:szCs w:val="28"/>
              <w:highlight w:val="none"/>
            </w:rPr>
            <w:t>第二节 评标方法及标准</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_Toc17697 \h </w:instrText>
          </w:r>
          <w:r>
            <w:rPr>
              <w:rFonts w:hint="eastAsia" w:ascii="黑体" w:hAnsi="黑体" w:eastAsia="黑体" w:cs="黑体"/>
            </w:rPr>
            <w:fldChar w:fldCharType="separate"/>
          </w:r>
          <w:r>
            <w:rPr>
              <w:rFonts w:hint="eastAsia" w:ascii="黑体" w:hAnsi="黑体" w:eastAsia="黑体" w:cs="黑体"/>
            </w:rPr>
            <w:t>- 33 -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_Toc7115 </w:instrText>
          </w:r>
          <w:r>
            <w:rPr>
              <w:rFonts w:hint="eastAsia" w:ascii="黑体" w:hAnsi="黑体" w:eastAsia="黑体" w:cs="黑体"/>
              <w:szCs w:val="32"/>
            </w:rPr>
            <w:fldChar w:fldCharType="separate"/>
          </w:r>
          <w:r>
            <w:rPr>
              <w:rFonts w:hint="eastAsia" w:ascii="黑体" w:hAnsi="黑体" w:eastAsia="黑体" w:cs="黑体"/>
              <w:szCs w:val="24"/>
              <w:highlight w:val="none"/>
            </w:rPr>
            <w:t>1．评标方法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_Toc7115 \h </w:instrText>
          </w:r>
          <w:r>
            <w:rPr>
              <w:rFonts w:hint="eastAsia" w:ascii="黑体" w:hAnsi="黑体" w:eastAsia="黑体" w:cs="黑体"/>
            </w:rPr>
            <w:fldChar w:fldCharType="separate"/>
          </w:r>
          <w:r>
            <w:rPr>
              <w:rFonts w:hint="eastAsia" w:ascii="黑体" w:hAnsi="黑体" w:eastAsia="黑体" w:cs="黑体"/>
            </w:rPr>
            <w:t>- 33 -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_Toc4151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2．评标程序</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_Toc4151 \h </w:instrText>
          </w:r>
          <w:r>
            <w:rPr>
              <w:rFonts w:hint="eastAsia" w:ascii="黑体" w:hAnsi="黑体" w:eastAsia="黑体" w:cs="黑体"/>
            </w:rPr>
            <w:fldChar w:fldCharType="separate"/>
          </w:r>
          <w:r>
            <w:rPr>
              <w:rFonts w:hint="eastAsia" w:ascii="黑体" w:hAnsi="黑体" w:eastAsia="黑体" w:cs="黑体"/>
            </w:rPr>
            <w:t>- 33 -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_Toc7019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3．投标文件的符合性审查</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_Toc7019 \h </w:instrText>
          </w:r>
          <w:r>
            <w:rPr>
              <w:rFonts w:hint="eastAsia" w:ascii="黑体" w:hAnsi="黑体" w:eastAsia="黑体" w:cs="黑体"/>
            </w:rPr>
            <w:fldChar w:fldCharType="separate"/>
          </w:r>
          <w:r>
            <w:rPr>
              <w:rFonts w:hint="eastAsia" w:ascii="黑体" w:hAnsi="黑体" w:eastAsia="黑体" w:cs="黑体"/>
            </w:rPr>
            <w:t>- 33 -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_Toc2908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4．投标文件的澄清</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_Toc2908 \h </w:instrText>
          </w:r>
          <w:r>
            <w:rPr>
              <w:rFonts w:hint="eastAsia" w:ascii="黑体" w:hAnsi="黑体" w:eastAsia="黑体" w:cs="黑体"/>
            </w:rPr>
            <w:fldChar w:fldCharType="separate"/>
          </w:r>
          <w:r>
            <w:rPr>
              <w:rFonts w:hint="eastAsia" w:ascii="黑体" w:hAnsi="黑体" w:eastAsia="黑体" w:cs="黑体"/>
            </w:rPr>
            <w:t>- 33 -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_Toc26125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5．投标文件的比较与评价</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_Toc26125 \h </w:instrText>
          </w:r>
          <w:r>
            <w:rPr>
              <w:rFonts w:hint="eastAsia" w:ascii="黑体" w:hAnsi="黑体" w:eastAsia="黑体" w:cs="黑体"/>
            </w:rPr>
            <w:fldChar w:fldCharType="separate"/>
          </w:r>
          <w:r>
            <w:rPr>
              <w:rFonts w:hint="eastAsia" w:ascii="黑体" w:hAnsi="黑体" w:eastAsia="黑体" w:cs="黑体"/>
            </w:rPr>
            <w:t>- 34 -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_Toc30938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6．</w:t>
          </w:r>
          <w:r>
            <w:rPr>
              <w:rFonts w:hint="eastAsia" w:ascii="黑体" w:hAnsi="黑体" w:eastAsia="黑体" w:cs="黑体"/>
              <w:szCs w:val="24"/>
              <w:highlight w:val="none"/>
            </w:rPr>
            <w:t>推荐中标候选人</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_Toc30938 \h </w:instrText>
          </w:r>
          <w:r>
            <w:rPr>
              <w:rFonts w:hint="eastAsia" w:ascii="黑体" w:hAnsi="黑体" w:eastAsia="黑体" w:cs="黑体"/>
            </w:rPr>
            <w:fldChar w:fldCharType="separate"/>
          </w:r>
          <w:r>
            <w:rPr>
              <w:rFonts w:hint="eastAsia" w:ascii="黑体" w:hAnsi="黑体" w:eastAsia="黑体" w:cs="黑体"/>
            </w:rPr>
            <w:t>- 34 -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_Toc12423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7．</w:t>
          </w:r>
          <w:r>
            <w:rPr>
              <w:rFonts w:hint="eastAsia" w:ascii="黑体" w:hAnsi="黑体" w:eastAsia="黑体" w:cs="黑体"/>
              <w:szCs w:val="24"/>
              <w:highlight w:val="none"/>
            </w:rPr>
            <w:t>编写评标报告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_Toc12423 \h </w:instrText>
          </w:r>
          <w:r>
            <w:rPr>
              <w:rFonts w:hint="eastAsia" w:ascii="黑体" w:hAnsi="黑体" w:eastAsia="黑体" w:cs="黑体"/>
            </w:rPr>
            <w:fldChar w:fldCharType="separate"/>
          </w:r>
          <w:r>
            <w:rPr>
              <w:rFonts w:hint="eastAsia" w:ascii="黑体" w:hAnsi="黑体" w:eastAsia="黑体" w:cs="黑体"/>
            </w:rPr>
            <w:t>- 35 -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_Toc28465 </w:instrText>
          </w:r>
          <w:r>
            <w:rPr>
              <w:rFonts w:hint="eastAsia" w:ascii="黑体" w:hAnsi="黑体" w:eastAsia="黑体" w:cs="黑体"/>
              <w:szCs w:val="32"/>
            </w:rPr>
            <w:fldChar w:fldCharType="separate"/>
          </w:r>
          <w:r>
            <w:rPr>
              <w:rFonts w:hint="eastAsia" w:ascii="黑体" w:hAnsi="黑体" w:eastAsia="黑体" w:cs="黑体"/>
              <w:bCs w:val="0"/>
              <w:szCs w:val="24"/>
              <w:highlight w:val="none"/>
            </w:rPr>
            <w:t>8．</w:t>
          </w:r>
          <w:r>
            <w:rPr>
              <w:rFonts w:hint="eastAsia" w:ascii="黑体" w:hAnsi="黑体" w:eastAsia="黑体" w:cs="黑体"/>
              <w:szCs w:val="24"/>
              <w:highlight w:val="none"/>
            </w:rPr>
            <w:t>评标报告</w:t>
          </w:r>
          <w:r>
            <w:rPr>
              <w:rFonts w:hint="eastAsia" w:ascii="黑体" w:hAnsi="黑体" w:eastAsia="黑体" w:cs="黑体"/>
              <w:bCs w:val="0"/>
              <w:szCs w:val="24"/>
              <w:highlight w:val="none"/>
            </w:rPr>
            <w:t>复核</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_Toc28465 \h </w:instrText>
          </w:r>
          <w:r>
            <w:rPr>
              <w:rFonts w:hint="eastAsia" w:ascii="黑体" w:hAnsi="黑体" w:eastAsia="黑体" w:cs="黑体"/>
            </w:rPr>
            <w:fldChar w:fldCharType="separate"/>
          </w:r>
          <w:r>
            <w:rPr>
              <w:rFonts w:hint="eastAsia" w:ascii="黑体" w:hAnsi="黑体" w:eastAsia="黑体" w:cs="黑体"/>
            </w:rPr>
            <w:t>- 35 -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_Toc8270 </w:instrText>
          </w:r>
          <w:r>
            <w:rPr>
              <w:rFonts w:hint="eastAsia" w:ascii="黑体" w:hAnsi="黑体" w:eastAsia="黑体" w:cs="黑体"/>
              <w:szCs w:val="32"/>
            </w:rPr>
            <w:fldChar w:fldCharType="separate"/>
          </w:r>
          <w:r>
            <w:rPr>
              <w:rFonts w:hint="eastAsia" w:ascii="黑体" w:hAnsi="黑体" w:eastAsia="黑体" w:cs="黑体"/>
              <w:szCs w:val="24"/>
              <w:highlight w:val="none"/>
            </w:rPr>
            <w:t>9．</w:t>
          </w:r>
          <w:r>
            <w:rPr>
              <w:rFonts w:hint="eastAsia" w:ascii="黑体" w:hAnsi="黑体" w:eastAsia="黑体" w:cs="黑体"/>
              <w:bCs w:val="0"/>
              <w:szCs w:val="24"/>
              <w:highlight w:val="none"/>
            </w:rPr>
            <w:t>停止评标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_Toc8270 \h </w:instrText>
          </w:r>
          <w:r>
            <w:rPr>
              <w:rFonts w:hint="eastAsia" w:ascii="黑体" w:hAnsi="黑体" w:eastAsia="黑体" w:cs="黑体"/>
            </w:rPr>
            <w:fldChar w:fldCharType="separate"/>
          </w:r>
          <w:r>
            <w:rPr>
              <w:rFonts w:hint="eastAsia" w:ascii="黑体" w:hAnsi="黑体" w:eastAsia="黑体" w:cs="黑体"/>
            </w:rPr>
            <w:t>- 35 -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_Toc11032 </w:instrText>
          </w:r>
          <w:r>
            <w:rPr>
              <w:rFonts w:hint="eastAsia" w:ascii="黑体" w:hAnsi="黑体" w:eastAsia="黑体" w:cs="黑体"/>
              <w:szCs w:val="32"/>
            </w:rPr>
            <w:fldChar w:fldCharType="separate"/>
          </w:r>
          <w:r>
            <w:rPr>
              <w:rFonts w:hint="eastAsia" w:ascii="黑体" w:hAnsi="黑体" w:eastAsia="黑体" w:cs="黑体"/>
              <w:kern w:val="0"/>
              <w:szCs w:val="24"/>
              <w:highlight w:val="none"/>
            </w:rPr>
            <w:t>11．重新组建评标委员会进行评标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_Toc11032 \h </w:instrText>
          </w:r>
          <w:r>
            <w:rPr>
              <w:rFonts w:hint="eastAsia" w:ascii="黑体" w:hAnsi="黑体" w:eastAsia="黑体" w:cs="黑体"/>
            </w:rPr>
            <w:fldChar w:fldCharType="separate"/>
          </w:r>
          <w:r>
            <w:rPr>
              <w:rFonts w:hint="eastAsia" w:ascii="黑体" w:hAnsi="黑体" w:eastAsia="黑体" w:cs="黑体"/>
            </w:rPr>
            <w:t>- 36 -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_Toc16394 </w:instrText>
          </w:r>
          <w:r>
            <w:rPr>
              <w:rFonts w:hint="eastAsia" w:ascii="黑体" w:hAnsi="黑体" w:eastAsia="黑体" w:cs="黑体"/>
              <w:szCs w:val="32"/>
            </w:rPr>
            <w:fldChar w:fldCharType="separate"/>
          </w:r>
          <w:r>
            <w:rPr>
              <w:rFonts w:hint="eastAsia" w:ascii="黑体" w:hAnsi="黑体" w:eastAsia="黑体" w:cs="黑体"/>
              <w:szCs w:val="28"/>
              <w:highlight w:val="none"/>
            </w:rPr>
            <w:t>第三节 投标文件的符合性审查</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_Toc16394 \h </w:instrText>
          </w:r>
          <w:r>
            <w:rPr>
              <w:rFonts w:hint="eastAsia" w:ascii="黑体" w:hAnsi="黑体" w:eastAsia="黑体" w:cs="黑体"/>
            </w:rPr>
            <w:fldChar w:fldCharType="separate"/>
          </w:r>
          <w:r>
            <w:rPr>
              <w:rFonts w:hint="eastAsia" w:ascii="黑体" w:hAnsi="黑体" w:eastAsia="黑体" w:cs="黑体"/>
            </w:rPr>
            <w:t>- 37 -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_Toc29237 </w:instrText>
          </w:r>
          <w:r>
            <w:rPr>
              <w:rFonts w:hint="eastAsia" w:ascii="黑体" w:hAnsi="黑体" w:eastAsia="黑体" w:cs="黑体"/>
              <w:szCs w:val="32"/>
            </w:rPr>
            <w:fldChar w:fldCharType="separate"/>
          </w:r>
          <w:r>
            <w:rPr>
              <w:rFonts w:hint="eastAsia" w:ascii="黑体" w:hAnsi="黑体" w:eastAsia="黑体" w:cs="黑体"/>
              <w:szCs w:val="21"/>
              <w:highlight w:val="none"/>
            </w:rPr>
            <w:t>附表1 符合性审查表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_Toc29237 \h </w:instrText>
          </w:r>
          <w:r>
            <w:rPr>
              <w:rFonts w:hint="eastAsia" w:ascii="黑体" w:hAnsi="黑体" w:eastAsia="黑体" w:cs="黑体"/>
            </w:rPr>
            <w:fldChar w:fldCharType="separate"/>
          </w:r>
          <w:r>
            <w:rPr>
              <w:rFonts w:hint="eastAsia" w:ascii="黑体" w:hAnsi="黑体" w:eastAsia="黑体" w:cs="黑体"/>
            </w:rPr>
            <w:t>- 38 -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_Toc5601 </w:instrText>
          </w:r>
          <w:r>
            <w:rPr>
              <w:rFonts w:hint="eastAsia" w:ascii="黑体" w:hAnsi="黑体" w:eastAsia="黑体" w:cs="黑体"/>
              <w:szCs w:val="32"/>
            </w:rPr>
            <w:fldChar w:fldCharType="separate"/>
          </w:r>
          <w:r>
            <w:rPr>
              <w:rFonts w:hint="eastAsia" w:ascii="黑体" w:hAnsi="黑体" w:eastAsia="黑体" w:cs="黑体"/>
              <w:szCs w:val="21"/>
              <w:highlight w:val="none"/>
            </w:rPr>
            <w:t>附表</w:t>
          </w:r>
          <w:r>
            <w:rPr>
              <w:rFonts w:hint="eastAsia" w:ascii="黑体" w:hAnsi="黑体" w:eastAsia="黑体" w:cs="黑体"/>
              <w:szCs w:val="21"/>
              <w:highlight w:val="none"/>
              <w:lang w:val="en-US" w:eastAsia="zh-CN"/>
            </w:rPr>
            <w:t>2</w:t>
          </w:r>
          <w:r>
            <w:rPr>
              <w:rFonts w:hint="eastAsia" w:ascii="黑体" w:hAnsi="黑体" w:eastAsia="黑体" w:cs="黑体"/>
              <w:szCs w:val="21"/>
              <w:highlight w:val="none"/>
            </w:rPr>
            <w:t xml:space="preserve"> 符合性审查结果一览表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_Toc5601 \h </w:instrText>
          </w:r>
          <w:r>
            <w:rPr>
              <w:rFonts w:hint="eastAsia" w:ascii="黑体" w:hAnsi="黑体" w:eastAsia="黑体" w:cs="黑体"/>
            </w:rPr>
            <w:fldChar w:fldCharType="separate"/>
          </w:r>
          <w:r>
            <w:rPr>
              <w:rFonts w:hint="eastAsia" w:ascii="黑体" w:hAnsi="黑体" w:eastAsia="黑体" w:cs="黑体"/>
            </w:rPr>
            <w:t>- 39 -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_Toc5323 </w:instrText>
          </w:r>
          <w:r>
            <w:rPr>
              <w:rFonts w:hint="eastAsia" w:ascii="黑体" w:hAnsi="黑体" w:eastAsia="黑体" w:cs="黑体"/>
              <w:szCs w:val="32"/>
            </w:rPr>
            <w:fldChar w:fldCharType="separate"/>
          </w:r>
          <w:r>
            <w:rPr>
              <w:rFonts w:hint="eastAsia" w:ascii="黑体" w:hAnsi="黑体" w:eastAsia="黑体" w:cs="黑体"/>
              <w:szCs w:val="21"/>
              <w:highlight w:val="none"/>
            </w:rPr>
            <w:t>附表</w:t>
          </w:r>
          <w:r>
            <w:rPr>
              <w:rFonts w:hint="eastAsia" w:ascii="黑体" w:hAnsi="黑体" w:eastAsia="黑体" w:cs="黑体"/>
              <w:szCs w:val="21"/>
              <w:highlight w:val="none"/>
              <w:lang w:val="en-US" w:eastAsia="zh-CN"/>
            </w:rPr>
            <w:t>3</w:t>
          </w:r>
          <w:r>
            <w:rPr>
              <w:rFonts w:hint="eastAsia" w:ascii="黑体" w:hAnsi="黑体" w:eastAsia="黑体" w:cs="黑体"/>
              <w:szCs w:val="21"/>
              <w:highlight w:val="none"/>
            </w:rPr>
            <w:t xml:space="preserve"> 符合性审查合格投标人名单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_Toc5323 \h </w:instrText>
          </w:r>
          <w:r>
            <w:rPr>
              <w:rFonts w:hint="eastAsia" w:ascii="黑体" w:hAnsi="黑体" w:eastAsia="黑体" w:cs="黑体"/>
            </w:rPr>
            <w:fldChar w:fldCharType="separate"/>
          </w:r>
          <w:r>
            <w:rPr>
              <w:rFonts w:hint="eastAsia" w:ascii="黑体" w:hAnsi="黑体" w:eastAsia="黑体" w:cs="黑体"/>
            </w:rPr>
            <w:t>- 40 -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_Toc20722 </w:instrText>
          </w:r>
          <w:r>
            <w:rPr>
              <w:rFonts w:hint="eastAsia" w:ascii="黑体" w:hAnsi="黑体" w:eastAsia="黑体" w:cs="黑体"/>
              <w:szCs w:val="32"/>
            </w:rPr>
            <w:fldChar w:fldCharType="separate"/>
          </w:r>
          <w:r>
            <w:rPr>
              <w:rFonts w:hint="eastAsia" w:ascii="黑体" w:hAnsi="黑体" w:eastAsia="黑体" w:cs="黑体"/>
              <w:szCs w:val="28"/>
              <w:highlight w:val="none"/>
            </w:rPr>
            <w:t>第四节 投标文件的比较与评价（综合评分法）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_Toc20722 \h </w:instrText>
          </w:r>
          <w:r>
            <w:rPr>
              <w:rFonts w:hint="eastAsia" w:ascii="黑体" w:hAnsi="黑体" w:eastAsia="黑体" w:cs="黑体"/>
            </w:rPr>
            <w:fldChar w:fldCharType="separate"/>
          </w:r>
          <w:r>
            <w:rPr>
              <w:rFonts w:hint="eastAsia" w:ascii="黑体" w:hAnsi="黑体" w:eastAsia="黑体" w:cs="黑体"/>
            </w:rPr>
            <w:t>- 41 -</w:t>
          </w:r>
          <w:r>
            <w:rPr>
              <w:rFonts w:hint="eastAsia" w:ascii="黑体" w:hAnsi="黑体" w:eastAsia="黑体" w:cs="黑体"/>
            </w:rPr>
            <w:fldChar w:fldCharType="end"/>
          </w:r>
          <w:r>
            <w:rPr>
              <w:rFonts w:hint="eastAsia" w:ascii="黑体" w:hAnsi="黑体" w:eastAsia="黑体" w:cs="黑体"/>
              <w:szCs w:val="32"/>
            </w:rPr>
            <w:fldChar w:fldCharType="end"/>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_Toc19897 </w:instrText>
          </w:r>
          <w:r>
            <w:rPr>
              <w:rFonts w:hint="eastAsia" w:ascii="黑体" w:hAnsi="黑体" w:eastAsia="黑体" w:cs="黑体"/>
              <w:szCs w:val="32"/>
            </w:rPr>
            <w:fldChar w:fldCharType="separate"/>
          </w:r>
          <w:r>
            <w:rPr>
              <w:rFonts w:hint="eastAsia" w:ascii="黑体" w:hAnsi="黑体" w:eastAsia="黑体" w:cs="黑体"/>
              <w:szCs w:val="32"/>
            </w:rPr>
            <w:t xml:space="preserve">第五章 </w:t>
          </w:r>
          <w:r>
            <w:rPr>
              <w:rFonts w:hint="eastAsia" w:ascii="黑体" w:hAnsi="黑体" w:eastAsia="黑体" w:cs="黑体"/>
              <w:szCs w:val="32"/>
              <w:lang w:val="en-US" w:eastAsia="zh-CN"/>
            </w:rPr>
            <w:t>服务要求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_Toc19897 \h </w:instrText>
          </w:r>
          <w:r>
            <w:rPr>
              <w:rFonts w:hint="eastAsia" w:ascii="黑体" w:hAnsi="黑体" w:eastAsia="黑体" w:cs="黑体"/>
            </w:rPr>
            <w:fldChar w:fldCharType="separate"/>
          </w:r>
          <w:r>
            <w:rPr>
              <w:rFonts w:hint="eastAsia" w:ascii="黑体" w:hAnsi="黑体" w:eastAsia="黑体" w:cs="黑体"/>
            </w:rPr>
            <w:t>- 45 -</w:t>
          </w:r>
          <w:r>
            <w:rPr>
              <w:rFonts w:hint="eastAsia" w:ascii="黑体" w:hAnsi="黑体" w:eastAsia="黑体" w:cs="黑体"/>
            </w:rPr>
            <w:fldChar w:fldCharType="end"/>
          </w:r>
          <w:r>
            <w:rPr>
              <w:rFonts w:hint="eastAsia" w:ascii="黑体" w:hAnsi="黑体" w:eastAsia="黑体" w:cs="黑体"/>
              <w:szCs w:val="32"/>
            </w:rPr>
            <w:fldChar w:fldCharType="end"/>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_Toc21831 </w:instrText>
          </w:r>
          <w:r>
            <w:rPr>
              <w:rFonts w:hint="eastAsia" w:ascii="黑体" w:hAnsi="黑体" w:eastAsia="黑体" w:cs="黑体"/>
              <w:szCs w:val="32"/>
            </w:rPr>
            <w:fldChar w:fldCharType="separate"/>
          </w:r>
          <w:r>
            <w:rPr>
              <w:rFonts w:hint="eastAsia" w:ascii="黑体" w:hAnsi="黑体" w:eastAsia="黑体" w:cs="黑体"/>
              <w:szCs w:val="32"/>
            </w:rPr>
            <w:t>第六章 政府采购合同</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_Toc21831 \h </w:instrText>
          </w:r>
          <w:r>
            <w:rPr>
              <w:rFonts w:hint="eastAsia" w:ascii="黑体" w:hAnsi="黑体" w:eastAsia="黑体" w:cs="黑体"/>
            </w:rPr>
            <w:fldChar w:fldCharType="separate"/>
          </w:r>
          <w:r>
            <w:rPr>
              <w:rFonts w:hint="eastAsia" w:ascii="黑体" w:hAnsi="黑体" w:eastAsia="黑体" w:cs="黑体"/>
            </w:rPr>
            <w:t>- 49 -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_Toc8190 </w:instrText>
          </w:r>
          <w:r>
            <w:rPr>
              <w:rFonts w:hint="eastAsia" w:ascii="黑体" w:hAnsi="黑体" w:eastAsia="黑体" w:cs="黑体"/>
              <w:szCs w:val="32"/>
            </w:rPr>
            <w:fldChar w:fldCharType="separate"/>
          </w:r>
          <w:r>
            <w:rPr>
              <w:rFonts w:hint="eastAsia" w:ascii="黑体" w:hAnsi="黑体" w:eastAsia="黑体" w:cs="黑体"/>
              <w:szCs w:val="28"/>
            </w:rPr>
            <w:t>第一节 政府采购合同协议书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_Toc8190 \h </w:instrText>
          </w:r>
          <w:r>
            <w:rPr>
              <w:rFonts w:hint="eastAsia" w:ascii="黑体" w:hAnsi="黑体" w:eastAsia="黑体" w:cs="黑体"/>
            </w:rPr>
            <w:fldChar w:fldCharType="separate"/>
          </w:r>
          <w:r>
            <w:rPr>
              <w:rFonts w:hint="eastAsia" w:ascii="黑体" w:hAnsi="黑体" w:eastAsia="黑体" w:cs="黑体"/>
            </w:rPr>
            <w:t>- 49 -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_Toc29942 </w:instrText>
          </w:r>
          <w:r>
            <w:rPr>
              <w:rFonts w:hint="eastAsia" w:ascii="黑体" w:hAnsi="黑体" w:eastAsia="黑体" w:cs="黑体"/>
              <w:szCs w:val="32"/>
            </w:rPr>
            <w:fldChar w:fldCharType="separate"/>
          </w:r>
          <w:r>
            <w:rPr>
              <w:rFonts w:hint="eastAsia" w:ascii="黑体" w:hAnsi="黑体" w:eastAsia="黑体" w:cs="黑体"/>
              <w:szCs w:val="28"/>
            </w:rPr>
            <w:t>第二节 政府采购合同通用条款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_Toc29942 \h </w:instrText>
          </w:r>
          <w:r>
            <w:rPr>
              <w:rFonts w:hint="eastAsia" w:ascii="黑体" w:hAnsi="黑体" w:eastAsia="黑体" w:cs="黑体"/>
            </w:rPr>
            <w:fldChar w:fldCharType="separate"/>
          </w:r>
          <w:r>
            <w:rPr>
              <w:rFonts w:hint="eastAsia" w:ascii="黑体" w:hAnsi="黑体" w:eastAsia="黑体" w:cs="黑体"/>
            </w:rPr>
            <w:t>- 51 -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_Toc19405 </w:instrText>
          </w:r>
          <w:r>
            <w:rPr>
              <w:rFonts w:hint="eastAsia" w:ascii="黑体" w:hAnsi="黑体" w:eastAsia="黑体" w:cs="黑体"/>
              <w:szCs w:val="32"/>
            </w:rPr>
            <w:fldChar w:fldCharType="separate"/>
          </w:r>
          <w:r>
            <w:rPr>
              <w:rFonts w:hint="eastAsia" w:ascii="黑体" w:hAnsi="黑体" w:eastAsia="黑体" w:cs="黑体"/>
              <w:szCs w:val="28"/>
            </w:rPr>
            <w:t>第三节 政府采购合同专用条款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_Toc19405 \h </w:instrText>
          </w:r>
          <w:r>
            <w:rPr>
              <w:rFonts w:hint="eastAsia" w:ascii="黑体" w:hAnsi="黑体" w:eastAsia="黑体" w:cs="黑体"/>
            </w:rPr>
            <w:fldChar w:fldCharType="separate"/>
          </w:r>
          <w:r>
            <w:rPr>
              <w:rFonts w:hint="eastAsia" w:ascii="黑体" w:hAnsi="黑体" w:eastAsia="黑体" w:cs="黑体"/>
            </w:rPr>
            <w:t>- 57 -</w:t>
          </w:r>
          <w:r>
            <w:rPr>
              <w:rFonts w:hint="eastAsia" w:ascii="黑体" w:hAnsi="黑体" w:eastAsia="黑体" w:cs="黑体"/>
            </w:rPr>
            <w:fldChar w:fldCharType="end"/>
          </w:r>
          <w:r>
            <w:rPr>
              <w:rFonts w:hint="eastAsia" w:ascii="黑体" w:hAnsi="黑体" w:eastAsia="黑体" w:cs="黑体"/>
              <w:szCs w:val="32"/>
            </w:rPr>
            <w:fldChar w:fldCharType="end"/>
          </w:r>
        </w:p>
        <w:p>
          <w:pPr>
            <w:pStyle w:val="33"/>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_Toc25520 </w:instrText>
          </w:r>
          <w:r>
            <w:rPr>
              <w:rFonts w:hint="eastAsia" w:ascii="黑体" w:hAnsi="黑体" w:eastAsia="黑体" w:cs="黑体"/>
              <w:szCs w:val="32"/>
            </w:rPr>
            <w:fldChar w:fldCharType="separate"/>
          </w:r>
          <w:r>
            <w:rPr>
              <w:rFonts w:hint="eastAsia" w:ascii="黑体" w:hAnsi="黑体" w:eastAsia="黑体" w:cs="黑体"/>
              <w:szCs w:val="32"/>
            </w:rPr>
            <w:t>第七章 投标文件的组成</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_Toc25520 \h </w:instrText>
          </w:r>
          <w:r>
            <w:rPr>
              <w:rFonts w:hint="eastAsia" w:ascii="黑体" w:hAnsi="黑体" w:eastAsia="黑体" w:cs="黑体"/>
            </w:rPr>
            <w:fldChar w:fldCharType="separate"/>
          </w:r>
          <w:r>
            <w:rPr>
              <w:rFonts w:hint="eastAsia" w:ascii="黑体" w:hAnsi="黑体" w:eastAsia="黑体" w:cs="黑体"/>
            </w:rPr>
            <w:t>- 58 -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_Toc4228 </w:instrText>
          </w:r>
          <w:r>
            <w:rPr>
              <w:rFonts w:hint="eastAsia" w:ascii="黑体" w:hAnsi="黑体" w:eastAsia="黑体" w:cs="黑体"/>
              <w:szCs w:val="32"/>
            </w:rPr>
            <w:fldChar w:fldCharType="separate"/>
          </w:r>
          <w:r>
            <w:rPr>
              <w:rFonts w:hint="eastAsia" w:ascii="黑体" w:hAnsi="黑体" w:eastAsia="黑体" w:cs="黑体"/>
              <w:szCs w:val="44"/>
            </w:rPr>
            <w:t>第一部分 资格证明文件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_Toc4228 \h </w:instrText>
          </w:r>
          <w:r>
            <w:rPr>
              <w:rFonts w:hint="eastAsia" w:ascii="黑体" w:hAnsi="黑体" w:eastAsia="黑体" w:cs="黑体"/>
            </w:rPr>
            <w:fldChar w:fldCharType="separate"/>
          </w:r>
          <w:r>
            <w:rPr>
              <w:rFonts w:hint="eastAsia" w:ascii="黑体" w:hAnsi="黑体" w:eastAsia="黑体" w:cs="黑体"/>
            </w:rPr>
            <w:t>- 59 -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_Toc3971 </w:instrText>
          </w:r>
          <w:r>
            <w:rPr>
              <w:rFonts w:hint="eastAsia" w:ascii="黑体" w:hAnsi="黑体" w:eastAsia="黑体" w:cs="黑体"/>
              <w:szCs w:val="32"/>
            </w:rPr>
            <w:fldChar w:fldCharType="separate"/>
          </w:r>
          <w:r>
            <w:rPr>
              <w:rFonts w:hint="eastAsia" w:ascii="黑体" w:hAnsi="黑体" w:eastAsia="黑体" w:cs="黑体"/>
              <w:szCs w:val="28"/>
            </w:rPr>
            <w:t>一、开标一览表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_Toc3971 \h </w:instrText>
          </w:r>
          <w:r>
            <w:rPr>
              <w:rFonts w:hint="eastAsia" w:ascii="黑体" w:hAnsi="黑体" w:eastAsia="黑体" w:cs="黑体"/>
            </w:rPr>
            <w:fldChar w:fldCharType="separate"/>
          </w:r>
          <w:r>
            <w:rPr>
              <w:rFonts w:hint="eastAsia" w:ascii="黑体" w:hAnsi="黑体" w:eastAsia="黑体" w:cs="黑体"/>
            </w:rPr>
            <w:t>- 61 -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_Toc6465 </w:instrText>
          </w:r>
          <w:r>
            <w:rPr>
              <w:rFonts w:hint="eastAsia" w:ascii="黑体" w:hAnsi="黑体" w:eastAsia="黑体" w:cs="黑体"/>
              <w:szCs w:val="32"/>
            </w:rPr>
            <w:fldChar w:fldCharType="separate"/>
          </w:r>
          <w:r>
            <w:rPr>
              <w:rFonts w:hint="eastAsia" w:ascii="黑体" w:hAnsi="黑体" w:eastAsia="黑体" w:cs="黑体"/>
              <w:szCs w:val="28"/>
            </w:rPr>
            <w:t>二、投标保证金</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_Toc6465 \h </w:instrText>
          </w:r>
          <w:r>
            <w:rPr>
              <w:rFonts w:hint="eastAsia" w:ascii="黑体" w:hAnsi="黑体" w:eastAsia="黑体" w:cs="黑体"/>
            </w:rPr>
            <w:fldChar w:fldCharType="separate"/>
          </w:r>
          <w:r>
            <w:rPr>
              <w:rFonts w:hint="eastAsia" w:ascii="黑体" w:hAnsi="黑体" w:eastAsia="黑体" w:cs="黑体"/>
            </w:rPr>
            <w:t>- 62 -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_Toc25156 </w:instrText>
          </w:r>
          <w:r>
            <w:rPr>
              <w:rFonts w:hint="eastAsia" w:ascii="黑体" w:hAnsi="黑体" w:eastAsia="黑体" w:cs="黑体"/>
              <w:szCs w:val="32"/>
            </w:rPr>
            <w:fldChar w:fldCharType="separate"/>
          </w:r>
          <w:r>
            <w:rPr>
              <w:rFonts w:hint="eastAsia" w:ascii="黑体" w:hAnsi="黑体" w:eastAsia="黑体" w:cs="黑体"/>
              <w:szCs w:val="28"/>
            </w:rPr>
            <w:t>三、法定代表人授权委托书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_Toc25156 \h </w:instrText>
          </w:r>
          <w:r>
            <w:rPr>
              <w:rFonts w:hint="eastAsia" w:ascii="黑体" w:hAnsi="黑体" w:eastAsia="黑体" w:cs="黑体"/>
            </w:rPr>
            <w:fldChar w:fldCharType="separate"/>
          </w:r>
          <w:r>
            <w:rPr>
              <w:rFonts w:hint="eastAsia" w:ascii="黑体" w:hAnsi="黑体" w:eastAsia="黑体" w:cs="黑体"/>
            </w:rPr>
            <w:t>- 63 -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_Toc9525 </w:instrText>
          </w:r>
          <w:r>
            <w:rPr>
              <w:rFonts w:hint="eastAsia" w:ascii="黑体" w:hAnsi="黑体" w:eastAsia="黑体" w:cs="黑体"/>
              <w:szCs w:val="32"/>
            </w:rPr>
            <w:fldChar w:fldCharType="separate"/>
          </w:r>
          <w:r>
            <w:rPr>
              <w:rFonts w:hint="eastAsia" w:ascii="黑体" w:hAnsi="黑体" w:eastAsia="黑体" w:cs="黑体"/>
              <w:szCs w:val="28"/>
            </w:rPr>
            <w:t>四、投标人提供的资格证明文件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_Toc9525 \h </w:instrText>
          </w:r>
          <w:r>
            <w:rPr>
              <w:rFonts w:hint="eastAsia" w:ascii="黑体" w:hAnsi="黑体" w:eastAsia="黑体" w:cs="黑体"/>
            </w:rPr>
            <w:fldChar w:fldCharType="separate"/>
          </w:r>
          <w:r>
            <w:rPr>
              <w:rFonts w:hint="eastAsia" w:ascii="黑体" w:hAnsi="黑体" w:eastAsia="黑体" w:cs="黑体"/>
            </w:rPr>
            <w:t>- 64 -</w:t>
          </w:r>
          <w:r>
            <w:rPr>
              <w:rFonts w:hint="eastAsia" w:ascii="黑体" w:hAnsi="黑体" w:eastAsia="黑体" w:cs="黑体"/>
            </w:rPr>
            <w:fldChar w:fldCharType="end"/>
          </w:r>
          <w:r>
            <w:rPr>
              <w:rFonts w:hint="eastAsia" w:ascii="黑体" w:hAnsi="黑体" w:eastAsia="黑体" w:cs="黑体"/>
              <w:szCs w:val="32"/>
            </w:rPr>
            <w:fldChar w:fldCharType="end"/>
          </w:r>
        </w:p>
        <w:p>
          <w:pPr>
            <w:pStyle w:val="39"/>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_Toc20579 </w:instrText>
          </w:r>
          <w:r>
            <w:rPr>
              <w:rFonts w:hint="eastAsia" w:ascii="黑体" w:hAnsi="黑体" w:eastAsia="黑体" w:cs="黑体"/>
              <w:szCs w:val="32"/>
            </w:rPr>
            <w:fldChar w:fldCharType="separate"/>
          </w:r>
          <w:r>
            <w:rPr>
              <w:rFonts w:hint="eastAsia" w:ascii="黑体" w:hAnsi="黑体" w:eastAsia="黑体" w:cs="黑体"/>
              <w:szCs w:val="44"/>
            </w:rPr>
            <w:t>第二部分 商务技术文件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_Toc20579 \h </w:instrText>
          </w:r>
          <w:r>
            <w:rPr>
              <w:rFonts w:hint="eastAsia" w:ascii="黑体" w:hAnsi="黑体" w:eastAsia="黑体" w:cs="黑体"/>
            </w:rPr>
            <w:fldChar w:fldCharType="separate"/>
          </w:r>
          <w:r>
            <w:rPr>
              <w:rFonts w:hint="eastAsia" w:ascii="黑体" w:hAnsi="黑体" w:eastAsia="黑体" w:cs="黑体"/>
            </w:rPr>
            <w:t>- 69 -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_Toc18697 </w:instrText>
          </w:r>
          <w:r>
            <w:rPr>
              <w:rFonts w:hint="eastAsia" w:ascii="黑体" w:hAnsi="黑体" w:eastAsia="黑体" w:cs="黑体"/>
              <w:szCs w:val="32"/>
            </w:rPr>
            <w:fldChar w:fldCharType="separate"/>
          </w:r>
          <w:r>
            <w:rPr>
              <w:rFonts w:hint="eastAsia" w:ascii="黑体" w:hAnsi="黑体" w:eastAsia="黑体" w:cs="黑体"/>
              <w:szCs w:val="28"/>
            </w:rPr>
            <w:t>五、投标函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_Toc18697 \h </w:instrText>
          </w:r>
          <w:r>
            <w:rPr>
              <w:rFonts w:hint="eastAsia" w:ascii="黑体" w:hAnsi="黑体" w:eastAsia="黑体" w:cs="黑体"/>
            </w:rPr>
            <w:fldChar w:fldCharType="separate"/>
          </w:r>
          <w:r>
            <w:rPr>
              <w:rFonts w:hint="eastAsia" w:ascii="黑体" w:hAnsi="黑体" w:eastAsia="黑体" w:cs="黑体"/>
            </w:rPr>
            <w:t>- 72 -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_Toc11765 </w:instrText>
          </w:r>
          <w:r>
            <w:rPr>
              <w:rFonts w:hint="eastAsia" w:ascii="黑体" w:hAnsi="黑体" w:eastAsia="黑体" w:cs="黑体"/>
              <w:szCs w:val="32"/>
            </w:rPr>
            <w:fldChar w:fldCharType="separate"/>
          </w:r>
          <w:r>
            <w:rPr>
              <w:rFonts w:hint="eastAsia" w:ascii="黑体" w:hAnsi="黑体" w:eastAsia="黑体" w:cs="黑体"/>
              <w:szCs w:val="28"/>
            </w:rPr>
            <w:t>六、分项报价明细表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_Toc11765 \h </w:instrText>
          </w:r>
          <w:r>
            <w:rPr>
              <w:rFonts w:hint="eastAsia" w:ascii="黑体" w:hAnsi="黑体" w:eastAsia="黑体" w:cs="黑体"/>
            </w:rPr>
            <w:fldChar w:fldCharType="separate"/>
          </w:r>
          <w:r>
            <w:rPr>
              <w:rFonts w:hint="eastAsia" w:ascii="黑体" w:hAnsi="黑体" w:eastAsia="黑体" w:cs="黑体"/>
            </w:rPr>
            <w:t>- 74 -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_Toc6726 </w:instrText>
          </w:r>
          <w:r>
            <w:rPr>
              <w:rFonts w:hint="eastAsia" w:ascii="黑体" w:hAnsi="黑体" w:eastAsia="黑体" w:cs="黑体"/>
              <w:szCs w:val="32"/>
            </w:rPr>
            <w:fldChar w:fldCharType="separate"/>
          </w:r>
          <w:r>
            <w:rPr>
              <w:rFonts w:hint="eastAsia" w:ascii="黑体" w:hAnsi="黑体" w:eastAsia="黑体" w:cs="黑体"/>
              <w:szCs w:val="28"/>
            </w:rPr>
            <w:t>七、采购需求响应</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_Toc6726 \h </w:instrText>
          </w:r>
          <w:r>
            <w:rPr>
              <w:rFonts w:hint="eastAsia" w:ascii="黑体" w:hAnsi="黑体" w:eastAsia="黑体" w:cs="黑体"/>
            </w:rPr>
            <w:fldChar w:fldCharType="separate"/>
          </w:r>
          <w:r>
            <w:rPr>
              <w:rFonts w:hint="eastAsia" w:ascii="黑体" w:hAnsi="黑体" w:eastAsia="黑体" w:cs="黑体"/>
            </w:rPr>
            <w:t>- 77 -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_Toc11525 </w:instrText>
          </w:r>
          <w:r>
            <w:rPr>
              <w:rFonts w:hint="eastAsia" w:ascii="黑体" w:hAnsi="黑体" w:eastAsia="黑体" w:cs="黑体"/>
              <w:szCs w:val="32"/>
            </w:rPr>
            <w:fldChar w:fldCharType="separate"/>
          </w:r>
          <w:r>
            <w:rPr>
              <w:rFonts w:hint="eastAsia" w:ascii="黑体" w:hAnsi="黑体" w:eastAsia="黑体" w:cs="黑体"/>
              <w:szCs w:val="28"/>
            </w:rPr>
            <w:t>八、商务、合同条款偏离表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_Toc11525 \h </w:instrText>
          </w:r>
          <w:r>
            <w:rPr>
              <w:rFonts w:hint="eastAsia" w:ascii="黑体" w:hAnsi="黑体" w:eastAsia="黑体" w:cs="黑体"/>
            </w:rPr>
            <w:fldChar w:fldCharType="separate"/>
          </w:r>
          <w:r>
            <w:rPr>
              <w:rFonts w:hint="eastAsia" w:ascii="黑体" w:hAnsi="黑体" w:eastAsia="黑体" w:cs="黑体"/>
            </w:rPr>
            <w:t>- 78 -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_Toc13033 </w:instrText>
          </w:r>
          <w:r>
            <w:rPr>
              <w:rFonts w:hint="eastAsia" w:ascii="黑体" w:hAnsi="黑体" w:eastAsia="黑体" w:cs="黑体"/>
              <w:szCs w:val="32"/>
            </w:rPr>
            <w:fldChar w:fldCharType="separate"/>
          </w:r>
          <w:r>
            <w:rPr>
              <w:rFonts w:hint="eastAsia" w:ascii="黑体" w:hAnsi="黑体" w:eastAsia="黑体" w:cs="黑体"/>
              <w:szCs w:val="28"/>
            </w:rPr>
            <w:t>九、采购需求偏离表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_Toc13033 \h </w:instrText>
          </w:r>
          <w:r>
            <w:rPr>
              <w:rFonts w:hint="eastAsia" w:ascii="黑体" w:hAnsi="黑体" w:eastAsia="黑体" w:cs="黑体"/>
            </w:rPr>
            <w:fldChar w:fldCharType="separate"/>
          </w:r>
          <w:r>
            <w:rPr>
              <w:rFonts w:hint="eastAsia" w:ascii="黑体" w:hAnsi="黑体" w:eastAsia="黑体" w:cs="黑体"/>
            </w:rPr>
            <w:t>- 79 -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_Toc14007 </w:instrText>
          </w:r>
          <w:r>
            <w:rPr>
              <w:rFonts w:hint="eastAsia" w:ascii="黑体" w:hAnsi="黑体" w:eastAsia="黑体" w:cs="黑体"/>
              <w:szCs w:val="32"/>
            </w:rPr>
            <w:fldChar w:fldCharType="separate"/>
          </w:r>
          <w:r>
            <w:rPr>
              <w:rFonts w:hint="eastAsia" w:ascii="黑体" w:hAnsi="黑体" w:eastAsia="黑体" w:cs="黑体"/>
              <w:szCs w:val="21"/>
            </w:rPr>
            <w:t>十</w:t>
          </w:r>
          <w:r>
            <w:rPr>
              <w:rFonts w:hint="eastAsia" w:ascii="黑体" w:hAnsi="黑体" w:eastAsia="黑体" w:cs="黑体"/>
              <w:szCs w:val="28"/>
            </w:rPr>
            <w:t>、享受政府采购政策优惠的证明资料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_Toc14007 \h </w:instrText>
          </w:r>
          <w:r>
            <w:rPr>
              <w:rFonts w:hint="eastAsia" w:ascii="黑体" w:hAnsi="黑体" w:eastAsia="黑体" w:cs="黑体"/>
            </w:rPr>
            <w:fldChar w:fldCharType="separate"/>
          </w:r>
          <w:r>
            <w:rPr>
              <w:rFonts w:hint="eastAsia" w:ascii="黑体" w:hAnsi="黑体" w:eastAsia="黑体" w:cs="黑体"/>
            </w:rPr>
            <w:t>- 80 -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_Toc9908 </w:instrText>
          </w:r>
          <w:r>
            <w:rPr>
              <w:rFonts w:hint="eastAsia" w:ascii="黑体" w:hAnsi="黑体" w:eastAsia="黑体" w:cs="黑体"/>
              <w:szCs w:val="32"/>
            </w:rPr>
            <w:fldChar w:fldCharType="separate"/>
          </w:r>
          <w:r>
            <w:rPr>
              <w:rFonts w:hint="eastAsia" w:ascii="黑体" w:hAnsi="黑体" w:eastAsia="黑体" w:cs="黑体"/>
              <w:szCs w:val="28"/>
            </w:rPr>
            <w:t>十一、投标货物符合</w:t>
          </w:r>
          <w:r>
            <w:rPr>
              <w:rFonts w:hint="eastAsia" w:ascii="黑体" w:hAnsi="黑体" w:eastAsia="黑体" w:cs="黑体"/>
              <w:szCs w:val="28"/>
              <w:lang w:eastAsia="zh-CN"/>
            </w:rPr>
            <w:t>采购</w:t>
          </w:r>
          <w:r>
            <w:rPr>
              <w:rFonts w:hint="eastAsia" w:ascii="黑体" w:hAnsi="黑体" w:eastAsia="黑体" w:cs="黑体"/>
              <w:szCs w:val="28"/>
            </w:rPr>
            <w:t>文件规定的证明文件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_Toc9908 \h </w:instrText>
          </w:r>
          <w:r>
            <w:rPr>
              <w:rFonts w:hint="eastAsia" w:ascii="黑体" w:hAnsi="黑体" w:eastAsia="黑体" w:cs="黑体"/>
            </w:rPr>
            <w:fldChar w:fldCharType="separate"/>
          </w:r>
          <w:r>
            <w:rPr>
              <w:rFonts w:hint="eastAsia" w:ascii="黑体" w:hAnsi="黑体" w:eastAsia="黑体" w:cs="黑体"/>
            </w:rPr>
            <w:t>- 83 -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_Toc4109 </w:instrText>
          </w:r>
          <w:r>
            <w:rPr>
              <w:rFonts w:hint="eastAsia" w:ascii="黑体" w:hAnsi="黑体" w:eastAsia="黑体" w:cs="黑体"/>
              <w:szCs w:val="32"/>
            </w:rPr>
            <w:fldChar w:fldCharType="separate"/>
          </w:r>
          <w:r>
            <w:rPr>
              <w:rFonts w:hint="eastAsia" w:ascii="黑体" w:hAnsi="黑体" w:eastAsia="黑体" w:cs="黑体"/>
              <w:szCs w:val="28"/>
            </w:rPr>
            <w:t>十二、投标人认为需提供的其他资料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_Toc4109 \h </w:instrText>
          </w:r>
          <w:r>
            <w:rPr>
              <w:rFonts w:hint="eastAsia" w:ascii="黑体" w:hAnsi="黑体" w:eastAsia="黑体" w:cs="黑体"/>
            </w:rPr>
            <w:fldChar w:fldCharType="separate"/>
          </w:r>
          <w:r>
            <w:rPr>
              <w:rFonts w:hint="eastAsia" w:ascii="黑体" w:hAnsi="黑体" w:eastAsia="黑体" w:cs="黑体"/>
            </w:rPr>
            <w:t>- 84 -</w:t>
          </w:r>
          <w:r>
            <w:rPr>
              <w:rFonts w:hint="eastAsia" w:ascii="黑体" w:hAnsi="黑体" w:eastAsia="黑体" w:cs="黑体"/>
            </w:rPr>
            <w:fldChar w:fldCharType="end"/>
          </w:r>
          <w:r>
            <w:rPr>
              <w:rFonts w:hint="eastAsia" w:ascii="黑体" w:hAnsi="黑体" w:eastAsia="黑体" w:cs="黑体"/>
              <w:szCs w:val="32"/>
            </w:rPr>
            <w:fldChar w:fldCharType="end"/>
          </w:r>
        </w:p>
        <w:p>
          <w:pPr>
            <w:pStyle w:val="25"/>
            <w:keepLines w:val="0"/>
            <w:pageBreakBefore w:val="0"/>
            <w:widowControl w:val="0"/>
            <w:tabs>
              <w:tab w:val="right" w:leader="dot" w:pos="8732"/>
            </w:tabs>
            <w:kinsoku/>
            <w:wordWrap/>
            <w:overflowPunct/>
            <w:topLinePunct w:val="0"/>
            <w:autoSpaceDE/>
            <w:autoSpaceDN/>
            <w:bidi w:val="0"/>
            <w:spacing w:line="440" w:lineRule="exact"/>
            <w:textAlignment w:val="auto"/>
            <w:rPr>
              <w:rFonts w:hint="eastAsia" w:ascii="黑体" w:hAnsi="黑体" w:eastAsia="黑体" w:cs="黑体"/>
            </w:rPr>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_Toc15240 </w:instrText>
          </w:r>
          <w:r>
            <w:rPr>
              <w:rFonts w:hint="eastAsia" w:ascii="黑体" w:hAnsi="黑体" w:eastAsia="黑体" w:cs="黑体"/>
              <w:szCs w:val="32"/>
            </w:rPr>
            <w:fldChar w:fldCharType="separate"/>
          </w:r>
          <w:r>
            <w:rPr>
              <w:rFonts w:hint="eastAsia" w:ascii="黑体" w:hAnsi="黑体" w:eastAsia="黑体" w:cs="黑体"/>
              <w:szCs w:val="28"/>
            </w:rPr>
            <w:t>十三、</w:t>
          </w:r>
          <w:r>
            <w:rPr>
              <w:rFonts w:hint="eastAsia" w:ascii="黑体" w:hAnsi="黑体" w:eastAsia="黑体" w:cs="黑体"/>
              <w:szCs w:val="28"/>
              <w:lang w:eastAsia="zh-CN"/>
            </w:rPr>
            <w:t>采购</w:t>
          </w:r>
          <w:r>
            <w:rPr>
              <w:rFonts w:hint="eastAsia" w:ascii="黑体" w:hAnsi="黑体" w:eastAsia="黑体" w:cs="黑体"/>
              <w:szCs w:val="28"/>
            </w:rPr>
            <w:t>代理服务费承诺书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_Toc15240 \h </w:instrText>
          </w:r>
          <w:r>
            <w:rPr>
              <w:rFonts w:hint="eastAsia" w:ascii="黑体" w:hAnsi="黑体" w:eastAsia="黑体" w:cs="黑体"/>
            </w:rPr>
            <w:fldChar w:fldCharType="separate"/>
          </w:r>
          <w:r>
            <w:rPr>
              <w:rFonts w:hint="eastAsia" w:ascii="黑体" w:hAnsi="黑体" w:eastAsia="黑体" w:cs="黑体"/>
            </w:rPr>
            <w:t>- 85 -</w:t>
          </w:r>
          <w:r>
            <w:rPr>
              <w:rFonts w:hint="eastAsia" w:ascii="黑体" w:hAnsi="黑体" w:eastAsia="黑体" w:cs="黑体"/>
            </w:rPr>
            <w:fldChar w:fldCharType="end"/>
          </w:r>
          <w:r>
            <w:rPr>
              <w:rFonts w:hint="eastAsia" w:ascii="黑体" w:hAnsi="黑体" w:eastAsia="黑体" w:cs="黑体"/>
              <w:szCs w:val="32"/>
            </w:rPr>
            <w:fldChar w:fldCharType="end"/>
          </w:r>
        </w:p>
        <w:p>
          <w:pPr>
            <w:pStyle w:val="7"/>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宋体" w:hAnsi="宋体" w:eastAsia="宋体" w:cs="宋体"/>
              <w:sz w:val="32"/>
              <w:szCs w:val="32"/>
            </w:rPr>
            <w:sectPr>
              <w:pgSz w:w="11906" w:h="16838"/>
              <w:pgMar w:top="1020" w:right="1587" w:bottom="1191" w:left="1587" w:header="851" w:footer="992" w:gutter="0"/>
              <w:pgNumType w:fmt="numberInDash"/>
              <w:cols w:space="0" w:num="1"/>
              <w:docGrid w:type="lines" w:linePitch="312" w:charSpace="0"/>
            </w:sectPr>
          </w:pPr>
          <w:r>
            <w:rPr>
              <w:rFonts w:hint="eastAsia" w:ascii="黑体" w:hAnsi="黑体" w:eastAsia="黑体" w:cs="黑体"/>
              <w:szCs w:val="32"/>
            </w:rPr>
            <w:fldChar w:fldCharType="end"/>
          </w:r>
        </w:p>
      </w:sdtContent>
    </w:sdt>
    <w:p>
      <w:pPr>
        <w:pStyle w:val="7"/>
        <w:numPr>
          <w:ilvl w:val="0"/>
          <w:numId w:val="0"/>
        </w:numPr>
        <w:rPr>
          <w:rFonts w:ascii="黑体" w:hAnsi="华文中宋" w:eastAsia="黑体"/>
          <w:sz w:val="32"/>
          <w:szCs w:val="32"/>
        </w:rPr>
      </w:pPr>
      <w:bookmarkStart w:id="1" w:name="_Toc29883"/>
      <w:r>
        <w:rPr>
          <w:rFonts w:hint="eastAsia" w:ascii="黑体" w:hAnsi="华文中宋" w:eastAsia="黑体"/>
          <w:sz w:val="32"/>
          <w:szCs w:val="32"/>
        </w:rPr>
        <w:t>第一章 投标邀请（公开招标）</w:t>
      </w:r>
      <w:bookmarkEnd w:id="0"/>
      <w:bookmarkEnd w:id="1"/>
    </w:p>
    <w:p>
      <w:pPr>
        <w:pStyle w:val="26"/>
        <w:adjustRightInd w:val="0"/>
        <w:snapToGrid w:val="0"/>
        <w:spacing w:line="360" w:lineRule="auto"/>
        <w:jc w:val="center"/>
        <w:rPr>
          <w:rFonts w:hAnsi="宋体"/>
          <w:iCs/>
          <w:color w:val="000000" w:themeColor="text1"/>
          <w14:textFill>
            <w14:solidFill>
              <w14:schemeClr w14:val="tx1"/>
            </w14:solidFill>
          </w14:textFill>
        </w:rPr>
      </w:pP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u w:val="none"/>
          <w:lang w:eastAsia="zh-CN"/>
          <w14:textFill>
            <w14:solidFill>
              <w14:schemeClr w14:val="tx1"/>
            </w14:solidFill>
          </w14:textFill>
        </w:rPr>
        <w:t>南华大学附属第一医院</w:t>
      </w:r>
      <w:r>
        <w:rPr>
          <w:rFonts w:hint="eastAsia" w:asciiTheme="minorEastAsia" w:hAnsiTheme="minorEastAsia" w:eastAsiaTheme="minorEastAsia"/>
          <w:color w:val="000000" w:themeColor="text1"/>
          <w:szCs w:val="21"/>
          <w:u w:val="none"/>
          <w14:textFill>
            <w14:solidFill>
              <w14:schemeClr w14:val="tx1"/>
            </w14:solidFill>
          </w14:textFill>
        </w:rPr>
        <w:t>的</w:t>
      </w:r>
      <w:r>
        <w:rPr>
          <w:rFonts w:hint="eastAsia" w:asciiTheme="minorEastAsia" w:hAnsiTheme="minorEastAsia" w:eastAsiaTheme="minorEastAsia"/>
          <w:b/>
          <w:bCs/>
          <w:color w:val="000000" w:themeColor="text1"/>
          <w:szCs w:val="21"/>
          <w:u w:val="none"/>
          <w:lang w:eastAsia="zh-CN"/>
          <w14:textFill>
            <w14:solidFill>
              <w14:schemeClr w14:val="tx1"/>
            </w14:solidFill>
          </w14:textFill>
        </w:rPr>
        <w:t>南华大学附属第一医院污水处理站运营托管服务采购项目重新立项</w:t>
      </w:r>
      <w:r>
        <w:rPr>
          <w:rFonts w:hint="eastAsia" w:asciiTheme="minorEastAsia" w:hAnsiTheme="minorEastAsia" w:eastAsiaTheme="minorEastAsia"/>
          <w:color w:val="000000" w:themeColor="text1"/>
          <w:szCs w:val="21"/>
          <w:u w:val="none"/>
          <w14:textFill>
            <w14:solidFill>
              <w14:schemeClr w14:val="tx1"/>
            </w14:solidFill>
          </w14:textFill>
        </w:rPr>
        <w:t>进行</w:t>
      </w:r>
      <w:r>
        <w:rPr>
          <w:rFonts w:hint="eastAsia" w:asciiTheme="minorEastAsia" w:hAnsiTheme="minorEastAsia" w:eastAsiaTheme="minorEastAsia"/>
          <w:color w:val="000000" w:themeColor="text1"/>
          <w:szCs w:val="21"/>
          <w14:textFill>
            <w14:solidFill>
              <w14:schemeClr w14:val="tx1"/>
            </w14:solidFill>
          </w14:textFill>
        </w:rPr>
        <w:t>公开招标采购，现邀请合格投标人参加投标。</w:t>
      </w:r>
    </w:p>
    <w:p>
      <w:pPr>
        <w:adjustRightInd w:val="0"/>
        <w:snapToGrid w:val="0"/>
        <w:spacing w:line="360" w:lineRule="auto"/>
        <w:ind w:firstLine="422" w:firstLineChars="200"/>
        <w:rPr>
          <w:rFonts w:asciiTheme="minorEastAsia" w:hAnsiTheme="minorEastAsia" w:eastAsiaTheme="minorEastAsia"/>
          <w:b/>
          <w:color w:val="auto"/>
          <w:szCs w:val="21"/>
        </w:rPr>
      </w:pPr>
      <w:r>
        <w:rPr>
          <w:rFonts w:hint="eastAsia" w:asciiTheme="minorEastAsia" w:hAnsiTheme="minorEastAsia" w:eastAsiaTheme="minorEastAsia"/>
          <w:b/>
          <w:color w:val="000000" w:themeColor="text1"/>
          <w:szCs w:val="21"/>
          <w14:textFill>
            <w14:solidFill>
              <w14:schemeClr w14:val="tx1"/>
            </w14:solidFill>
          </w14:textFill>
        </w:rPr>
        <w:t>一、采购项目名称、</w:t>
      </w:r>
      <w:r>
        <w:rPr>
          <w:rFonts w:hint="eastAsia" w:asciiTheme="minorEastAsia" w:hAnsiTheme="minorEastAsia" w:eastAsiaTheme="minorEastAsia"/>
          <w:b/>
          <w:color w:val="auto"/>
          <w:szCs w:val="21"/>
        </w:rPr>
        <w:t>编号及预算金额</w:t>
      </w:r>
    </w:p>
    <w:p>
      <w:pPr>
        <w:adjustRightInd w:val="0"/>
        <w:snapToGrid w:val="0"/>
        <w:spacing w:line="360" w:lineRule="auto"/>
        <w:ind w:firstLine="420" w:firstLineChars="200"/>
        <w:rPr>
          <w:rFonts w:hint="eastAsia" w:asciiTheme="minorEastAsia" w:hAnsiTheme="minorEastAsia" w:eastAsiaTheme="minorEastAsia"/>
          <w:color w:val="auto"/>
          <w:szCs w:val="21"/>
          <w:u w:val="none"/>
          <w:lang w:eastAsia="zh-CN"/>
        </w:rPr>
      </w:pPr>
      <w:r>
        <w:rPr>
          <w:rFonts w:hint="eastAsia" w:asciiTheme="minorEastAsia" w:hAnsiTheme="minorEastAsia" w:eastAsiaTheme="minorEastAsia"/>
          <w:color w:val="auto"/>
          <w:szCs w:val="21"/>
        </w:rPr>
        <w:t>1、采购项目名称：</w:t>
      </w:r>
      <w:r>
        <w:rPr>
          <w:rFonts w:hint="eastAsia" w:asciiTheme="minorEastAsia" w:hAnsiTheme="minorEastAsia" w:eastAsiaTheme="minorEastAsia"/>
          <w:color w:val="auto"/>
          <w:szCs w:val="21"/>
          <w:u w:val="none"/>
          <w:lang w:eastAsia="zh-CN"/>
        </w:rPr>
        <w:t>南华大学附属第一医院污水处理站运营托管服务采购项目重新立项</w:t>
      </w:r>
    </w:p>
    <w:p>
      <w:pPr>
        <w:adjustRightInd w:val="0"/>
        <w:snapToGrid w:val="0"/>
        <w:spacing w:line="360" w:lineRule="auto"/>
        <w:ind w:firstLine="420" w:firstLineChars="200"/>
        <w:rPr>
          <w:rFonts w:hint="eastAsia" w:asciiTheme="minorEastAsia" w:hAnsiTheme="minorEastAsia" w:eastAsiaTheme="minorEastAsia"/>
          <w:color w:val="auto"/>
          <w:szCs w:val="21"/>
          <w:u w:val="none"/>
          <w:lang w:eastAsia="zh-CN"/>
        </w:rPr>
      </w:pPr>
      <w:r>
        <w:rPr>
          <w:rFonts w:hint="eastAsia" w:asciiTheme="minorEastAsia" w:hAnsiTheme="minorEastAsia" w:eastAsiaTheme="minorEastAsia"/>
          <w:color w:val="auto"/>
          <w:szCs w:val="21"/>
          <w:u w:val="none"/>
        </w:rPr>
        <w:t>2、政府采购编号：</w:t>
      </w:r>
      <w:r>
        <w:rPr>
          <w:rFonts w:hint="eastAsia" w:asciiTheme="minorEastAsia" w:hAnsiTheme="minorEastAsia" w:eastAsiaTheme="minorEastAsia"/>
          <w:color w:val="auto"/>
          <w:szCs w:val="21"/>
          <w:u w:val="none"/>
          <w:lang w:eastAsia="zh-CN"/>
        </w:rPr>
        <w:t>湘财采计[2021]000437号</w:t>
      </w:r>
    </w:p>
    <w:p>
      <w:pPr>
        <w:adjustRightInd w:val="0"/>
        <w:snapToGrid w:val="0"/>
        <w:spacing w:line="360" w:lineRule="auto"/>
        <w:ind w:firstLine="420" w:firstLineChars="200"/>
        <w:rPr>
          <w:rFonts w:hint="eastAsia" w:asciiTheme="minorEastAsia" w:hAnsiTheme="minorEastAsia" w:eastAsiaTheme="minorEastAsia"/>
          <w:i/>
          <w:color w:val="auto"/>
          <w:szCs w:val="21"/>
          <w:lang w:eastAsia="zh-CN"/>
        </w:rPr>
      </w:pPr>
      <w:r>
        <w:rPr>
          <w:rFonts w:hint="eastAsia" w:asciiTheme="minorEastAsia" w:hAnsiTheme="minorEastAsia" w:eastAsiaTheme="minorEastAsia"/>
          <w:color w:val="auto"/>
          <w:szCs w:val="21"/>
        </w:rPr>
        <w:t>3、采购代理编号：</w:t>
      </w:r>
      <w:r>
        <w:rPr>
          <w:rFonts w:hint="eastAsia" w:asciiTheme="minorEastAsia" w:hAnsiTheme="minorEastAsia" w:eastAsiaTheme="minorEastAsia"/>
          <w:color w:val="auto"/>
          <w:szCs w:val="21"/>
          <w:lang w:eastAsia="zh-CN"/>
        </w:rPr>
        <w:t>JTZX2021-FWZB-HY010</w:t>
      </w:r>
    </w:p>
    <w:p>
      <w:pPr>
        <w:adjustRightInd w:val="0"/>
        <w:snapToGrid w:val="0"/>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4、采购项目预算：</w:t>
      </w:r>
      <w:r>
        <w:rPr>
          <w:rFonts w:hint="eastAsia" w:asciiTheme="minorEastAsia" w:hAnsiTheme="minorEastAsia" w:eastAsiaTheme="minorEastAsia"/>
          <w:color w:val="auto"/>
          <w:szCs w:val="21"/>
          <w:lang w:eastAsia="zh-CN"/>
        </w:rPr>
        <w:t>2338935</w:t>
      </w:r>
      <w:r>
        <w:rPr>
          <w:rFonts w:hint="eastAsia" w:asciiTheme="minorEastAsia" w:hAnsiTheme="minorEastAsia" w:eastAsiaTheme="minorEastAsia"/>
          <w:color w:val="auto"/>
          <w:szCs w:val="21"/>
        </w:rPr>
        <w:t>元</w:t>
      </w:r>
    </w:p>
    <w:p>
      <w:pPr>
        <w:adjustRightInd w:val="0"/>
        <w:snapToGrid w:val="0"/>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5、采购项目最高限价(设定最高限价的)：</w:t>
      </w:r>
      <w:r>
        <w:rPr>
          <w:rFonts w:hint="eastAsia" w:asciiTheme="minorEastAsia" w:hAnsiTheme="minorEastAsia" w:eastAsiaTheme="minorEastAsia"/>
          <w:color w:val="auto"/>
          <w:szCs w:val="21"/>
          <w:lang w:eastAsia="zh-CN"/>
        </w:rPr>
        <w:t>2338935</w:t>
      </w:r>
      <w:r>
        <w:rPr>
          <w:rFonts w:hint="eastAsia" w:asciiTheme="minorEastAsia" w:hAnsiTheme="minorEastAsia" w:eastAsiaTheme="minorEastAsia"/>
          <w:color w:val="auto"/>
          <w:szCs w:val="21"/>
        </w:rPr>
        <w:t>元</w:t>
      </w:r>
    </w:p>
    <w:p>
      <w:pPr>
        <w:adjustRightInd w:val="0"/>
        <w:snapToGrid w:val="0"/>
        <w:spacing w:line="360" w:lineRule="auto"/>
        <w:ind w:firstLine="422" w:firstLineChars="20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二、采购人的采购需求</w:t>
      </w:r>
    </w:p>
    <w:p>
      <w:pPr>
        <w:adjustRightInd w:val="0"/>
        <w:snapToGrid w:val="0"/>
        <w:spacing w:line="360" w:lineRule="auto"/>
        <w:rPr>
          <w:rFonts w:asciiTheme="minorEastAsia" w:hAnsiTheme="minorEastAsia" w:eastAsiaTheme="minorEastAsia"/>
          <w:b/>
          <w:color w:val="auto"/>
          <w:szCs w:val="21"/>
        </w:rPr>
      </w:pPr>
      <w:r>
        <w:rPr>
          <w:rFonts w:hint="eastAsia" w:cs="宋体" w:asciiTheme="minorEastAsia" w:hAnsiTheme="minorEastAsia" w:eastAsiaTheme="minorEastAsia"/>
          <w:color w:val="auto"/>
          <w:kern w:val="0"/>
          <w:szCs w:val="21"/>
        </w:rPr>
        <w:t>包号:</w:t>
      </w:r>
    </w:p>
    <w:tbl>
      <w:tblPr>
        <w:tblStyle w:val="47"/>
        <w:tblW w:w="8290"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53"/>
        <w:gridCol w:w="960"/>
        <w:gridCol w:w="491"/>
        <w:gridCol w:w="1009"/>
        <w:gridCol w:w="1064"/>
        <w:gridCol w:w="1091"/>
        <w:gridCol w:w="1091"/>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731" w:type="dxa"/>
            <w:vAlign w:val="center"/>
          </w:tcPr>
          <w:p>
            <w:pPr>
              <w:widowControl/>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序号</w:t>
            </w:r>
          </w:p>
        </w:tc>
        <w:tc>
          <w:tcPr>
            <w:tcW w:w="1853" w:type="dxa"/>
            <w:vAlign w:val="center"/>
          </w:tcPr>
          <w:p>
            <w:pPr>
              <w:widowControl/>
              <w:adjustRightInd w:val="0"/>
              <w:snapToGrid w:val="0"/>
              <w:jc w:val="center"/>
              <w:rPr>
                <w:rFonts w:asciiTheme="minorEastAsia" w:hAnsiTheme="minorEastAsia" w:eastAsiaTheme="minorEastAsia"/>
                <w:color w:val="auto"/>
                <w:szCs w:val="21"/>
              </w:rPr>
            </w:pPr>
            <w:r>
              <w:rPr>
                <w:rFonts w:hint="eastAsia" w:ascii="宋体" w:hAnsi="宋体"/>
                <w:color w:val="auto"/>
                <w:kern w:val="0"/>
              </w:rPr>
              <w:t>包名称</w:t>
            </w:r>
          </w:p>
        </w:tc>
        <w:tc>
          <w:tcPr>
            <w:tcW w:w="960" w:type="dxa"/>
            <w:vAlign w:val="center"/>
          </w:tcPr>
          <w:p>
            <w:pPr>
              <w:widowControl/>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数量</w:t>
            </w:r>
          </w:p>
        </w:tc>
        <w:tc>
          <w:tcPr>
            <w:tcW w:w="491" w:type="dxa"/>
            <w:vAlign w:val="center"/>
          </w:tcPr>
          <w:p>
            <w:pPr>
              <w:widowControl/>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单位</w:t>
            </w:r>
          </w:p>
        </w:tc>
        <w:tc>
          <w:tcPr>
            <w:tcW w:w="1009" w:type="dxa"/>
            <w:vAlign w:val="center"/>
          </w:tcPr>
          <w:p>
            <w:pPr>
              <w:widowControl/>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简要技术要求</w:t>
            </w:r>
          </w:p>
        </w:tc>
        <w:tc>
          <w:tcPr>
            <w:tcW w:w="1064" w:type="dxa"/>
            <w:vAlign w:val="center"/>
          </w:tcPr>
          <w:p>
            <w:pPr>
              <w:widowControl/>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采购预算（元）</w:t>
            </w:r>
          </w:p>
        </w:tc>
        <w:tc>
          <w:tcPr>
            <w:tcW w:w="1091" w:type="dxa"/>
            <w:vAlign w:val="center"/>
          </w:tcPr>
          <w:p>
            <w:pPr>
              <w:widowControl/>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最高限价（元）</w:t>
            </w:r>
          </w:p>
        </w:tc>
        <w:tc>
          <w:tcPr>
            <w:tcW w:w="1091" w:type="dxa"/>
            <w:vAlign w:val="center"/>
          </w:tcPr>
          <w:p>
            <w:pPr>
              <w:widowControl/>
              <w:adjustRightInd w:val="0"/>
              <w:snapToGrid w:val="0"/>
              <w:jc w:val="center"/>
              <w:rPr>
                <w:rFonts w:asciiTheme="minorEastAsia" w:hAnsiTheme="minorEastAsia" w:eastAsiaTheme="minorEastAsia"/>
                <w:color w:val="auto"/>
                <w:szCs w:val="21"/>
              </w:rPr>
            </w:pPr>
            <w:r>
              <w:rPr>
                <w:rFonts w:hint="eastAsia" w:ascii="宋体" w:hAnsi="宋体" w:cs="宋体"/>
                <w:color w:val="auto"/>
                <w:kern w:val="0"/>
                <w:szCs w:val="21"/>
              </w:rPr>
              <w:t>代理服务收费最高限价（元人民币）</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1" w:type="dxa"/>
            <w:tcBorders>
              <w:top w:val="single" w:color="auto" w:sz="4" w:space="0"/>
              <w:bottom w:val="single" w:color="auto" w:sz="4" w:space="0"/>
            </w:tcBorders>
            <w:vAlign w:val="center"/>
          </w:tcPr>
          <w:p>
            <w:pPr>
              <w:pStyle w:val="26"/>
              <w:adjustRightInd w:val="0"/>
              <w:snapToGrid w:val="0"/>
              <w:jc w:val="center"/>
              <w:rPr>
                <w:rFonts w:cs="Times New Roman" w:asciiTheme="minorEastAsia" w:hAnsiTheme="minorEastAsia" w:eastAsiaTheme="minorEastAsia"/>
                <w:color w:val="auto"/>
              </w:rPr>
            </w:pPr>
            <w:r>
              <w:rPr>
                <w:rFonts w:cs="Times New Roman" w:asciiTheme="minorEastAsia" w:hAnsiTheme="minorEastAsia" w:eastAsiaTheme="minorEastAsia"/>
                <w:color w:val="auto"/>
              </w:rPr>
              <w:t>1</w:t>
            </w:r>
          </w:p>
        </w:tc>
        <w:tc>
          <w:tcPr>
            <w:tcW w:w="1853" w:type="dxa"/>
            <w:tcBorders>
              <w:top w:val="single" w:color="auto" w:sz="4" w:space="0"/>
              <w:bottom w:val="single" w:color="auto" w:sz="4" w:space="0"/>
            </w:tcBorders>
            <w:vAlign w:val="center"/>
          </w:tcPr>
          <w:p>
            <w:pPr>
              <w:pStyle w:val="26"/>
              <w:adjustRightInd w:val="0"/>
              <w:snapToGrid w:val="0"/>
              <w:jc w:val="center"/>
              <w:rPr>
                <w:rFonts w:cs="Times New Roman" w:asciiTheme="minorEastAsia" w:hAnsiTheme="minorEastAsia" w:eastAsiaTheme="minorEastAsia"/>
                <w:color w:val="auto"/>
                <w:u w:val="none"/>
              </w:rPr>
            </w:pPr>
            <w:r>
              <w:rPr>
                <w:rFonts w:hint="eastAsia" w:asciiTheme="minorEastAsia" w:hAnsiTheme="minorEastAsia" w:eastAsiaTheme="minorEastAsia"/>
                <w:color w:val="auto"/>
                <w:szCs w:val="21"/>
                <w:u w:val="none"/>
                <w:lang w:eastAsia="zh-CN"/>
              </w:rPr>
              <w:t>南华大学附属第一医院污水处理站运营托管服务采购项目重新立项</w:t>
            </w:r>
          </w:p>
        </w:tc>
        <w:tc>
          <w:tcPr>
            <w:tcW w:w="960" w:type="dxa"/>
            <w:tcBorders>
              <w:top w:val="single" w:color="auto" w:sz="4" w:space="0"/>
              <w:bottom w:val="single" w:color="auto" w:sz="4" w:space="0"/>
            </w:tcBorders>
            <w:vAlign w:val="center"/>
          </w:tcPr>
          <w:p>
            <w:pPr>
              <w:pStyle w:val="26"/>
              <w:adjustRightInd w:val="0"/>
              <w:snapToGrid w:val="0"/>
              <w:jc w:val="center"/>
              <w:rPr>
                <w:rFonts w:hint="default" w:cs="Times New Roman" w:asciiTheme="minorEastAsia" w:hAnsiTheme="minorEastAsia" w:eastAsiaTheme="minorEastAsia"/>
                <w:color w:val="auto"/>
                <w:u w:val="none"/>
                <w:lang w:val="en-US" w:eastAsia="zh-CN"/>
              </w:rPr>
            </w:pPr>
            <w:r>
              <w:rPr>
                <w:rFonts w:hint="eastAsia" w:cs="Times New Roman" w:asciiTheme="minorEastAsia" w:hAnsiTheme="minorEastAsia" w:eastAsiaTheme="minorEastAsia"/>
                <w:color w:val="auto"/>
                <w:u w:val="none"/>
                <w:lang w:val="en-US" w:eastAsia="zh-CN"/>
              </w:rPr>
              <w:t>3</w:t>
            </w:r>
          </w:p>
        </w:tc>
        <w:tc>
          <w:tcPr>
            <w:tcW w:w="491" w:type="dxa"/>
            <w:tcBorders>
              <w:top w:val="single" w:color="auto" w:sz="4" w:space="0"/>
              <w:bottom w:val="single" w:color="auto" w:sz="4" w:space="0"/>
            </w:tcBorders>
            <w:vAlign w:val="center"/>
          </w:tcPr>
          <w:p>
            <w:pPr>
              <w:pStyle w:val="26"/>
              <w:adjustRightInd w:val="0"/>
              <w:snapToGrid w:val="0"/>
              <w:jc w:val="center"/>
              <w:rPr>
                <w:rFonts w:hint="eastAsia" w:cs="Times New Roman" w:asciiTheme="minorEastAsia" w:hAnsiTheme="minorEastAsia" w:eastAsiaTheme="minorEastAsia"/>
                <w:color w:val="auto"/>
                <w:u w:val="none"/>
                <w:lang w:eastAsia="zh-CN"/>
              </w:rPr>
            </w:pPr>
            <w:r>
              <w:rPr>
                <w:rFonts w:hint="eastAsia" w:cs="Times New Roman" w:asciiTheme="minorEastAsia" w:hAnsiTheme="minorEastAsia" w:eastAsiaTheme="minorEastAsia"/>
                <w:color w:val="auto"/>
                <w:u w:val="none"/>
                <w:lang w:val="en-US" w:eastAsia="zh-CN"/>
              </w:rPr>
              <w:t>年</w:t>
            </w:r>
          </w:p>
        </w:tc>
        <w:tc>
          <w:tcPr>
            <w:tcW w:w="1009" w:type="dxa"/>
            <w:tcBorders>
              <w:top w:val="single" w:color="auto" w:sz="4" w:space="0"/>
              <w:bottom w:val="single" w:color="auto" w:sz="4" w:space="0"/>
            </w:tcBorders>
            <w:vAlign w:val="center"/>
          </w:tcPr>
          <w:p>
            <w:pPr>
              <w:pStyle w:val="26"/>
              <w:adjustRightInd w:val="0"/>
              <w:snapToGrid w:val="0"/>
              <w:jc w:val="center"/>
              <w:rPr>
                <w:rFonts w:cs="Times New Roman" w:asciiTheme="minorEastAsia" w:hAnsiTheme="minorEastAsia" w:eastAsiaTheme="minorEastAsia"/>
                <w:color w:val="auto"/>
                <w:u w:val="none"/>
              </w:rPr>
            </w:pPr>
            <w:r>
              <w:rPr>
                <w:rFonts w:hint="eastAsia" w:cs="Times New Roman" w:asciiTheme="minorEastAsia" w:hAnsiTheme="minorEastAsia" w:eastAsiaTheme="minorEastAsia"/>
                <w:color w:val="auto"/>
                <w:u w:val="none"/>
              </w:rPr>
              <w:t>详见技术要求</w:t>
            </w:r>
          </w:p>
        </w:tc>
        <w:tc>
          <w:tcPr>
            <w:tcW w:w="1064" w:type="dxa"/>
            <w:tcBorders>
              <w:top w:val="single" w:color="auto" w:sz="4" w:space="0"/>
              <w:bottom w:val="single" w:color="auto" w:sz="4" w:space="0"/>
            </w:tcBorders>
            <w:vAlign w:val="center"/>
          </w:tcPr>
          <w:p>
            <w:pPr>
              <w:pStyle w:val="26"/>
              <w:adjustRightInd w:val="0"/>
              <w:snapToGrid w:val="0"/>
              <w:jc w:val="center"/>
              <w:rPr>
                <w:rFonts w:cs="Times New Roman" w:asciiTheme="minorEastAsia" w:hAnsiTheme="minorEastAsia" w:eastAsiaTheme="minorEastAsia"/>
                <w:color w:val="auto"/>
                <w:u w:val="none"/>
              </w:rPr>
            </w:pPr>
            <w:r>
              <w:rPr>
                <w:rFonts w:hint="eastAsia" w:cs="Times New Roman" w:asciiTheme="minorEastAsia" w:hAnsiTheme="minorEastAsia" w:eastAsiaTheme="minorEastAsia"/>
                <w:color w:val="auto"/>
                <w:u w:val="none"/>
                <w:lang w:eastAsia="zh-CN"/>
              </w:rPr>
              <w:t>2338935</w:t>
            </w:r>
            <w:r>
              <w:rPr>
                <w:rFonts w:hint="eastAsia" w:cs="Times New Roman" w:asciiTheme="minorEastAsia" w:hAnsiTheme="minorEastAsia" w:eastAsiaTheme="minorEastAsia"/>
                <w:color w:val="auto"/>
                <w:u w:val="none"/>
              </w:rPr>
              <w:t>元</w:t>
            </w:r>
          </w:p>
        </w:tc>
        <w:tc>
          <w:tcPr>
            <w:tcW w:w="1091" w:type="dxa"/>
            <w:tcBorders>
              <w:top w:val="single" w:color="auto" w:sz="4" w:space="0"/>
              <w:bottom w:val="single" w:color="auto" w:sz="4" w:space="0"/>
            </w:tcBorders>
            <w:vAlign w:val="center"/>
          </w:tcPr>
          <w:p>
            <w:pPr>
              <w:pStyle w:val="26"/>
              <w:adjustRightInd w:val="0"/>
              <w:snapToGrid w:val="0"/>
              <w:jc w:val="center"/>
              <w:rPr>
                <w:rFonts w:cs="Times New Roman" w:asciiTheme="minorEastAsia" w:hAnsiTheme="minorEastAsia" w:eastAsiaTheme="minorEastAsia"/>
                <w:color w:val="auto"/>
                <w:u w:val="none"/>
              </w:rPr>
            </w:pPr>
            <w:r>
              <w:rPr>
                <w:rFonts w:hint="eastAsia" w:cs="Times New Roman" w:asciiTheme="minorEastAsia" w:hAnsiTheme="minorEastAsia" w:eastAsiaTheme="minorEastAsia"/>
                <w:color w:val="auto"/>
                <w:u w:val="none"/>
                <w:lang w:eastAsia="zh-CN"/>
              </w:rPr>
              <w:t>2338935</w:t>
            </w:r>
            <w:r>
              <w:rPr>
                <w:rFonts w:hint="eastAsia" w:cs="Times New Roman" w:asciiTheme="minorEastAsia" w:hAnsiTheme="minorEastAsia" w:eastAsiaTheme="minorEastAsia"/>
                <w:color w:val="auto"/>
                <w:u w:val="none"/>
              </w:rPr>
              <w:t>元</w:t>
            </w:r>
          </w:p>
        </w:tc>
        <w:tc>
          <w:tcPr>
            <w:tcW w:w="1091" w:type="dxa"/>
            <w:tcBorders>
              <w:top w:val="single" w:color="auto" w:sz="4" w:space="0"/>
              <w:bottom w:val="single" w:color="auto" w:sz="4" w:space="0"/>
            </w:tcBorders>
            <w:vAlign w:val="center"/>
          </w:tcPr>
          <w:p>
            <w:pPr>
              <w:pStyle w:val="26"/>
              <w:adjustRightInd w:val="0"/>
              <w:snapToGrid w:val="0"/>
              <w:jc w:val="center"/>
              <w:rPr>
                <w:rFonts w:cs="Times New Roman" w:asciiTheme="minorEastAsia" w:hAnsiTheme="minorEastAsia" w:eastAsiaTheme="minorEastAsia"/>
                <w:color w:val="auto"/>
                <w:u w:val="none"/>
              </w:rPr>
            </w:pPr>
            <w:r>
              <w:rPr>
                <w:rFonts w:hint="eastAsia" w:cs="Times New Roman" w:asciiTheme="minorEastAsia" w:hAnsiTheme="minorEastAsia" w:eastAsiaTheme="minorEastAsia"/>
                <w:color w:val="auto"/>
                <w:u w:val="none"/>
                <w:lang w:eastAsia="zh-CN"/>
              </w:rPr>
              <w:t>17998</w:t>
            </w:r>
            <w:r>
              <w:rPr>
                <w:rFonts w:hint="eastAsia" w:cs="Times New Roman" w:asciiTheme="minorEastAsia" w:hAnsiTheme="minorEastAsia" w:eastAsiaTheme="minorEastAsia"/>
                <w:color w:val="auto"/>
                <w:u w:val="none"/>
              </w:rPr>
              <w:t>元</w:t>
            </w:r>
          </w:p>
        </w:tc>
      </w:tr>
    </w:tbl>
    <w:p>
      <w:pPr>
        <w:adjustRightInd w:val="0"/>
        <w:snapToGrid w:val="0"/>
        <w:spacing w:line="360" w:lineRule="auto"/>
        <w:ind w:firstLine="420" w:firstLineChars="200"/>
        <w:rPr>
          <w:rFonts w:asciiTheme="minorEastAsia" w:hAnsiTheme="minorEastAsia" w:eastAsiaTheme="minorEastAsia"/>
          <w:color w:val="auto"/>
          <w:szCs w:val="21"/>
        </w:rPr>
      </w:pPr>
    </w:p>
    <w:p>
      <w:pPr>
        <w:adjustRightInd w:val="0"/>
        <w:snapToGrid w:val="0"/>
        <w:spacing w:line="360" w:lineRule="auto"/>
        <w:ind w:firstLine="420" w:firstLineChars="200"/>
        <w:rPr>
          <w:rFonts w:asciiTheme="minorEastAsia" w:hAnsiTheme="minorEastAsia" w:eastAsiaTheme="minorEastAsia"/>
          <w:b/>
          <w:color w:val="auto"/>
          <w:szCs w:val="21"/>
        </w:rPr>
      </w:pPr>
      <w:r>
        <w:rPr>
          <w:rFonts w:hint="eastAsia" w:asciiTheme="minorEastAsia" w:hAnsiTheme="minorEastAsia" w:eastAsiaTheme="minorEastAsia"/>
          <w:color w:val="auto"/>
          <w:szCs w:val="21"/>
        </w:rPr>
        <w:t>1、</w:t>
      </w:r>
      <w:r>
        <w:rPr>
          <w:rFonts w:hint="eastAsia" w:asciiTheme="minorEastAsia" w:hAnsiTheme="minorEastAsia" w:eastAsiaTheme="minorEastAsia"/>
          <w:b/>
          <w:color w:val="auto"/>
          <w:szCs w:val="21"/>
        </w:rPr>
        <w:t>采购项目需要落实的政府采购政策</w:t>
      </w:r>
      <w:r>
        <w:rPr>
          <w:rFonts w:hint="eastAsia" w:asciiTheme="minorEastAsia" w:hAnsiTheme="minorEastAsia" w:eastAsiaTheme="minorEastAsia"/>
          <w:color w:val="auto"/>
          <w:szCs w:val="21"/>
        </w:rPr>
        <w:t>：</w:t>
      </w:r>
    </w:p>
    <w:p>
      <w:pPr>
        <w:adjustRightInd w:val="0"/>
        <w:snapToGrid w:val="0"/>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价格评审优惠：政府采购促进小微企业发展（包括政府采购支持监狱企业发展、政府采购促进残疾人就业）。</w:t>
      </w:r>
    </w:p>
    <w:p>
      <w:pPr>
        <w:adjustRightInd w:val="0"/>
        <w:snapToGrid w:val="0"/>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r>
        <w:rPr>
          <w:rFonts w:hint="eastAsia" w:asciiTheme="minorEastAsia" w:hAnsiTheme="minorEastAsia" w:eastAsiaTheme="minorEastAsia"/>
          <w:b/>
          <w:color w:val="auto"/>
          <w:szCs w:val="21"/>
        </w:rPr>
        <w:t>采购进口产品</w:t>
      </w:r>
      <w:r>
        <w:rPr>
          <w:rFonts w:hint="eastAsia" w:asciiTheme="minorEastAsia" w:hAnsiTheme="minorEastAsia" w:eastAsiaTheme="minorEastAsia"/>
          <w:color w:val="auto"/>
          <w:szCs w:val="21"/>
        </w:rPr>
        <w:t>：</w:t>
      </w:r>
      <w:r>
        <w:rPr>
          <w:rFonts w:hint="eastAsia" w:ascii="宋体" w:hAnsi="宋体"/>
          <w:color w:val="auto"/>
          <w:szCs w:val="21"/>
        </w:rPr>
        <w:t>本采购项目不接受进口产品投标</w:t>
      </w:r>
      <w:r>
        <w:rPr>
          <w:rFonts w:hint="eastAsia" w:asciiTheme="minorEastAsia" w:hAnsiTheme="minorEastAsia"/>
          <w:color w:val="auto"/>
          <w:szCs w:val="21"/>
        </w:rPr>
        <w:t>。</w:t>
      </w:r>
    </w:p>
    <w:p>
      <w:pPr>
        <w:adjustRightInd w:val="0"/>
        <w:snapToGrid w:val="0"/>
        <w:spacing w:line="360" w:lineRule="auto"/>
        <w:ind w:firstLine="422" w:firstLineChars="200"/>
        <w:rPr>
          <w:rFonts w:asciiTheme="minorEastAsia" w:hAnsiTheme="minorEastAsia" w:eastAsiaTheme="minorEastAsia"/>
          <w:color w:val="auto"/>
          <w:szCs w:val="21"/>
        </w:rPr>
      </w:pPr>
      <w:r>
        <w:rPr>
          <w:rFonts w:hint="eastAsia" w:asciiTheme="minorEastAsia" w:hAnsiTheme="minorEastAsia" w:eastAsiaTheme="minorEastAsia"/>
          <w:b/>
          <w:color w:val="auto"/>
          <w:szCs w:val="21"/>
        </w:rPr>
        <w:t>三、投标人的资格要求</w:t>
      </w:r>
      <w:r>
        <w:rPr>
          <w:rFonts w:hint="eastAsia" w:asciiTheme="minorEastAsia" w:hAnsiTheme="minorEastAsia" w:eastAsiaTheme="minorEastAsia"/>
          <w:color w:val="auto"/>
          <w:szCs w:val="21"/>
        </w:rPr>
        <w:t>：</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color w:val="auto"/>
          <w:szCs w:val="21"/>
        </w:rPr>
        <w:t>1、投标人基本资格条件：投标人必须是在中华人民共和国境内注册登记的法人、非法人组织或者自然人，且应当符合《政府采购法》第二十二条</w:t>
      </w:r>
      <w:r>
        <w:rPr>
          <w:rFonts w:hint="eastAsia" w:asciiTheme="minorEastAsia" w:hAnsiTheme="minorEastAsia" w:eastAsiaTheme="minorEastAsia"/>
          <w:szCs w:val="21"/>
        </w:rPr>
        <w:t>规定的供应商条件，即：</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（1）具有独立承担民事责任的能力；</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（2）具有良好的商业信誉和健全的财务会计制度；</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（3）具有履行合同所必需的设备和专业技术能力；</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（4）有依法缴纳税收和社会保障资金的良好记录；</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（5）参加政府采购活动前三年内，在经营活动中没有重大违法记录；</w:t>
      </w:r>
    </w:p>
    <w:p>
      <w:pPr>
        <w:adjustRightInd w:val="0"/>
        <w:snapToGrid w:val="0"/>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szCs w:val="21"/>
        </w:rPr>
        <w:t>（6）法律、行政</w:t>
      </w:r>
      <w:r>
        <w:rPr>
          <w:rFonts w:hint="eastAsia" w:asciiTheme="minorEastAsia" w:hAnsiTheme="minorEastAsia" w:eastAsiaTheme="minorEastAsia"/>
          <w:color w:val="auto"/>
          <w:szCs w:val="21"/>
        </w:rPr>
        <w:t>法规规定的其他条件。</w:t>
      </w:r>
    </w:p>
    <w:p>
      <w:pPr>
        <w:adjustRightInd w:val="0"/>
        <w:snapToGrid w:val="0"/>
        <w:spacing w:line="360" w:lineRule="auto"/>
        <w:ind w:firstLine="422" w:firstLineChars="200"/>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2、投标人特定资格</w:t>
      </w:r>
      <w:r>
        <w:rPr>
          <w:rFonts w:hint="eastAsia" w:cs="Times New Roman" w:asciiTheme="minorEastAsia" w:hAnsiTheme="minorEastAsia" w:eastAsiaTheme="minorEastAsia"/>
          <w:b/>
          <w:bCs/>
          <w:color w:val="auto"/>
          <w:szCs w:val="21"/>
        </w:rPr>
        <w:t>条件：</w:t>
      </w:r>
      <w:r>
        <w:rPr>
          <w:rFonts w:hint="eastAsia" w:cs="Times New Roman" w:asciiTheme="minorEastAsia" w:hAnsiTheme="minorEastAsia" w:eastAsiaTheme="minorEastAsia"/>
          <w:b/>
          <w:bCs/>
          <w:color w:val="auto"/>
          <w:szCs w:val="21"/>
          <w:lang w:eastAsia="zh-CN"/>
        </w:rPr>
        <w:t>无</w:t>
      </w:r>
      <w:r>
        <w:rPr>
          <w:rFonts w:hint="eastAsia" w:cs="Times New Roman" w:asciiTheme="minorEastAsia" w:hAnsiTheme="minorEastAsia" w:eastAsiaTheme="minorEastAsia"/>
          <w:b/>
          <w:bCs/>
          <w:color w:val="auto"/>
          <w:szCs w:val="21"/>
        </w:rPr>
        <w:t>。</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color w:val="auto"/>
          <w:szCs w:val="21"/>
        </w:rPr>
        <w:t>3、单位负责人为同一人或者存在</w:t>
      </w:r>
      <w:r>
        <w:rPr>
          <w:rFonts w:hint="eastAsia" w:asciiTheme="minorEastAsia" w:hAnsiTheme="minorEastAsia" w:eastAsiaTheme="minorEastAsia"/>
          <w:szCs w:val="21"/>
        </w:rPr>
        <w:t>直接控股、管理关系的不同投标人，不得参加本项目同一合同项下的政府采购活动。</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4、为本采购项目提供整体设计、规范编制或者项目管理、监理、检测等服务的，不得再参加本项目的其他招标采购活动。</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5、未</w:t>
      </w:r>
      <w:r>
        <w:rPr>
          <w:rFonts w:ascii="宋体" w:hAnsi="宋体"/>
          <w:szCs w:val="21"/>
        </w:rPr>
        <w:t>被</w:t>
      </w:r>
      <w:r>
        <w:rPr>
          <w:rFonts w:hint="eastAsia" w:asciiTheme="minorEastAsia" w:hAnsiTheme="minorEastAsia" w:eastAsiaTheme="minorEastAsia"/>
          <w:szCs w:val="21"/>
        </w:rPr>
        <w:t>列入失信被执行人、重大税收违法案件当事人名单，未</w:t>
      </w:r>
      <w:r>
        <w:rPr>
          <w:rFonts w:ascii="宋体" w:hAnsi="宋体"/>
          <w:szCs w:val="21"/>
        </w:rPr>
        <w:t>被</w:t>
      </w:r>
      <w:r>
        <w:rPr>
          <w:rFonts w:hint="eastAsia" w:asciiTheme="minorEastAsia" w:hAnsiTheme="minorEastAsia" w:eastAsiaTheme="minorEastAsia"/>
          <w:szCs w:val="21"/>
        </w:rPr>
        <w:t>列入政府采购严重违法失信行为记录名单。</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6、联合体投标。本次招标不接受联合体投标。</w:t>
      </w:r>
    </w:p>
    <w:p>
      <w:pPr>
        <w:adjustRightInd w:val="0"/>
        <w:snapToGrid w:val="0"/>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四、获取招标文件的时间、期限、地点、方式及招标文件售价</w:t>
      </w:r>
    </w:p>
    <w:p>
      <w:pPr>
        <w:adjustRightInd w:val="0"/>
        <w:snapToGrid w:val="0"/>
        <w:spacing w:line="360" w:lineRule="auto"/>
        <w:ind w:firstLine="420" w:firstLineChars="200"/>
        <w:rPr>
          <w:rFonts w:asciiTheme="minorEastAsia" w:hAnsiTheme="minorEastAsia" w:eastAsiaTheme="minorEastAsia"/>
          <w:szCs w:val="21"/>
        </w:rPr>
      </w:pPr>
      <w:bookmarkStart w:id="2" w:name="_Toc35446154"/>
      <w:r>
        <w:rPr>
          <w:rFonts w:hint="eastAsia" w:asciiTheme="minorEastAsia" w:hAnsiTheme="minorEastAsia" w:eastAsiaTheme="minorEastAsia"/>
          <w:szCs w:val="21"/>
        </w:rPr>
        <w:t>1、获取公开招标文件的时间</w:t>
      </w:r>
      <w:r>
        <w:rPr>
          <w:rFonts w:hint="eastAsia" w:asciiTheme="minorEastAsia" w:hAnsiTheme="minorEastAsia" w:eastAsiaTheme="minorEastAsia"/>
          <w:color w:val="auto"/>
          <w:szCs w:val="21"/>
        </w:rPr>
        <w:t>：从</w:t>
      </w: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日起至202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w:t>
      </w:r>
      <w:r>
        <w:rPr>
          <w:rFonts w:hint="eastAsia" w:asciiTheme="minorEastAsia" w:hAnsiTheme="minorEastAsia" w:eastAsiaTheme="minorEastAsia"/>
          <w:color w:val="auto"/>
          <w:szCs w:val="21"/>
        </w:rPr>
        <w:t>17:00止</w:t>
      </w:r>
      <w:r>
        <w:rPr>
          <w:rFonts w:hint="eastAsia" w:asciiTheme="minorEastAsia" w:hAnsiTheme="minorEastAsia" w:eastAsiaTheme="minorEastAsia"/>
          <w:szCs w:val="21"/>
        </w:rPr>
        <w:t>，每天上午8:</w:t>
      </w:r>
      <w:r>
        <w:rPr>
          <w:rFonts w:asciiTheme="minorEastAsia" w:hAnsiTheme="minorEastAsia" w:eastAsiaTheme="minorEastAsia"/>
          <w:szCs w:val="21"/>
        </w:rPr>
        <w:t>3</w:t>
      </w:r>
      <w:r>
        <w:rPr>
          <w:rFonts w:hint="eastAsia" w:asciiTheme="minorEastAsia" w:hAnsiTheme="minorEastAsia" w:eastAsiaTheme="minorEastAsia"/>
          <w:szCs w:val="21"/>
        </w:rPr>
        <w:t>0时起至下午17:00时止(北京时间)，双休日及节假日除外。</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2、获取公开招标文件的地点：衡阳市公共资源交易网。</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供应商请至衡阳市公共资源交易中心网站（http://hyggzyjy.hengyang.gov.cn:8081/TPBidder/memberLogin）报名，报名成功后，在本项目报名截止时间前登录此网站下载采购文件，并进行“报名确认”操作，未进行“报名确认”或其他途径获取的采购文件将视同放弃投标资格。</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公开招标文件售价：400元/份。</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获取招标文件的材料要求：衡阳市公共资源交易平台http://hyggzyjy.hengyang.gov.cn均需使用数字证书登陆进行操作,尚未办理数字证书的供应商请及时登录http://hyggzyjy.hengyang.gov.cn查询数字证书有关业务流程或电话咨询:4009280095，0734-8846545，4006682666，0734-8846535。</w:t>
      </w:r>
    </w:p>
    <w:p>
      <w:pPr>
        <w:adjustRightInd w:val="0"/>
        <w:snapToGrid w:val="0"/>
        <w:spacing w:line="440" w:lineRule="exact"/>
        <w:ind w:firstLine="479" w:firstLineChars="227"/>
        <w:rPr>
          <w:rFonts w:ascii="宋体" w:hAnsi="宋体"/>
          <w:b/>
          <w:color w:val="auto"/>
        </w:rPr>
      </w:pPr>
      <w:r>
        <w:rPr>
          <w:rFonts w:hint="eastAsia" w:ascii="宋体" w:hAnsi="宋体"/>
          <w:b/>
        </w:rPr>
        <w:t>五、投标截止时</w:t>
      </w:r>
      <w:r>
        <w:rPr>
          <w:rFonts w:hint="eastAsia" w:ascii="宋体" w:hAnsi="宋体"/>
          <w:b/>
          <w:color w:val="auto"/>
        </w:rPr>
        <w:t>间、开标时间及地点</w:t>
      </w:r>
    </w:p>
    <w:p>
      <w:pPr>
        <w:adjustRightInd w:val="0"/>
        <w:snapToGrid w:val="0"/>
        <w:spacing w:line="440" w:lineRule="exact"/>
        <w:ind w:firstLine="476" w:firstLineChars="227"/>
        <w:rPr>
          <w:rFonts w:ascii="宋体" w:hAnsi="宋体"/>
          <w:bCs/>
          <w:color w:val="auto"/>
        </w:rPr>
      </w:pPr>
      <w:r>
        <w:rPr>
          <w:rFonts w:hint="eastAsia" w:ascii="宋体" w:hAnsi="宋体"/>
          <w:bCs/>
          <w:color w:val="auto"/>
        </w:rPr>
        <w:t>1、提交投标文件的截止时间：</w:t>
      </w: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上</w:t>
      </w:r>
      <w:r>
        <w:rPr>
          <w:rFonts w:hint="eastAsia" w:ascii="宋体" w:hAnsi="宋体" w:cs="宋体"/>
          <w:color w:val="auto"/>
          <w:szCs w:val="21"/>
          <w:lang w:eastAsia="zh-CN"/>
        </w:rPr>
        <w:t>午</w:t>
      </w:r>
      <w:r>
        <w:rPr>
          <w:rFonts w:hint="eastAsia" w:ascii="宋体" w:hAnsi="宋体" w:cs="宋体"/>
          <w:color w:val="auto"/>
          <w:szCs w:val="21"/>
          <w:lang w:val="en-US" w:eastAsia="zh-CN"/>
        </w:rPr>
        <w:t>9</w:t>
      </w:r>
      <w:r>
        <w:rPr>
          <w:rFonts w:hint="eastAsia" w:ascii="宋体" w:hAnsi="宋体"/>
          <w:bCs/>
          <w:color w:val="auto"/>
        </w:rPr>
        <w:t>时</w:t>
      </w:r>
      <w:r>
        <w:rPr>
          <w:rFonts w:hint="eastAsia" w:ascii="宋体" w:hAnsi="宋体"/>
          <w:bCs/>
          <w:color w:val="auto"/>
          <w:lang w:val="en-US" w:eastAsia="zh-CN"/>
        </w:rPr>
        <w:t>00</w:t>
      </w:r>
      <w:r>
        <w:rPr>
          <w:rFonts w:hint="eastAsia" w:ascii="宋体" w:hAnsi="宋体"/>
          <w:bCs/>
          <w:color w:val="auto"/>
        </w:rPr>
        <w:t>分（北京时间）</w:t>
      </w:r>
    </w:p>
    <w:p>
      <w:pPr>
        <w:adjustRightInd w:val="0"/>
        <w:snapToGrid w:val="0"/>
        <w:spacing w:line="440" w:lineRule="exact"/>
        <w:ind w:firstLine="476" w:firstLineChars="227"/>
        <w:rPr>
          <w:rFonts w:ascii="宋体" w:hAnsi="宋体"/>
          <w:bCs/>
          <w:color w:val="auto"/>
        </w:rPr>
      </w:pPr>
      <w:r>
        <w:rPr>
          <w:rFonts w:hint="eastAsia" w:ascii="宋体" w:hAnsi="宋体"/>
          <w:bCs/>
          <w:color w:val="auto"/>
        </w:rPr>
        <w:t>2、开标时间：</w:t>
      </w: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上</w:t>
      </w:r>
      <w:r>
        <w:rPr>
          <w:rFonts w:hint="eastAsia" w:ascii="宋体" w:hAnsi="宋体" w:cs="宋体"/>
          <w:color w:val="auto"/>
          <w:szCs w:val="21"/>
          <w:lang w:eastAsia="zh-CN"/>
        </w:rPr>
        <w:t>午</w:t>
      </w:r>
      <w:r>
        <w:rPr>
          <w:rFonts w:hint="eastAsia" w:ascii="宋体" w:hAnsi="宋体" w:cs="宋体"/>
          <w:color w:val="auto"/>
          <w:szCs w:val="21"/>
          <w:lang w:val="en-US" w:eastAsia="zh-CN"/>
        </w:rPr>
        <w:t>9</w:t>
      </w:r>
      <w:r>
        <w:rPr>
          <w:rFonts w:hint="eastAsia" w:ascii="宋体" w:hAnsi="宋体"/>
          <w:bCs/>
          <w:color w:val="auto"/>
        </w:rPr>
        <w:t>时</w:t>
      </w:r>
      <w:r>
        <w:rPr>
          <w:rFonts w:hint="eastAsia" w:ascii="宋体" w:hAnsi="宋体"/>
          <w:bCs/>
          <w:color w:val="auto"/>
          <w:lang w:val="en-US" w:eastAsia="zh-CN"/>
        </w:rPr>
        <w:t>00</w:t>
      </w:r>
      <w:r>
        <w:rPr>
          <w:rFonts w:hint="eastAsia" w:ascii="宋体" w:hAnsi="宋体"/>
          <w:bCs/>
          <w:color w:val="auto"/>
        </w:rPr>
        <w:t>分（北京时间）</w:t>
      </w:r>
    </w:p>
    <w:p>
      <w:pPr>
        <w:adjustRightInd w:val="0"/>
        <w:snapToGrid w:val="0"/>
        <w:spacing w:line="440" w:lineRule="exact"/>
        <w:ind w:firstLine="476" w:firstLineChars="227"/>
        <w:rPr>
          <w:rFonts w:hint="default" w:ascii="宋体" w:hAnsi="宋体" w:eastAsia="宋体"/>
          <w:bCs/>
          <w:color w:val="auto"/>
          <w:lang w:val="en-US" w:eastAsia="zh-CN"/>
        </w:rPr>
      </w:pPr>
      <w:r>
        <w:rPr>
          <w:rFonts w:hint="eastAsia" w:ascii="宋体" w:hAnsi="宋体"/>
          <w:bCs/>
          <w:color w:val="auto"/>
        </w:rPr>
        <w:t>3、开标地点：衡阳市公共资源交易中心二楼</w:t>
      </w:r>
      <w:r>
        <w:rPr>
          <w:rFonts w:hint="eastAsia" w:ascii="宋体" w:hAnsi="宋体"/>
          <w:bCs/>
          <w:color w:val="auto"/>
          <w:lang w:eastAsia="zh-CN"/>
        </w:rPr>
        <w:t>电子竞拍大厅</w:t>
      </w:r>
    </w:p>
    <w:p>
      <w:pPr>
        <w:adjustRightInd w:val="0"/>
        <w:snapToGrid w:val="0"/>
        <w:spacing w:line="440" w:lineRule="exact"/>
        <w:ind w:firstLine="479" w:firstLineChars="227"/>
        <w:rPr>
          <w:rFonts w:ascii="宋体" w:hAnsi="宋体"/>
          <w:b/>
        </w:rPr>
      </w:pPr>
      <w:r>
        <w:rPr>
          <w:rFonts w:hint="eastAsia" w:ascii="宋体" w:hAnsi="宋体"/>
          <w:b/>
        </w:rPr>
        <w:t>六、询问及质疑：</w:t>
      </w:r>
    </w:p>
    <w:p>
      <w:pPr>
        <w:adjustRightInd w:val="0"/>
        <w:snapToGrid w:val="0"/>
        <w:spacing w:line="440" w:lineRule="exact"/>
        <w:ind w:firstLine="476" w:firstLineChars="227"/>
        <w:rPr>
          <w:rFonts w:ascii="宋体" w:hAnsi="宋体"/>
          <w:bCs/>
        </w:rPr>
      </w:pPr>
      <w:r>
        <w:rPr>
          <w:rFonts w:hint="eastAsia" w:ascii="宋体" w:hAnsi="宋体"/>
          <w:bCs/>
        </w:rPr>
        <w:t>对采购文件提出质疑的，应当在获取采购文件或者在采购文件公告期限届满之日起7个工作日内以书面形式向采购人、代理机构提出。</w:t>
      </w:r>
    </w:p>
    <w:p>
      <w:pPr>
        <w:adjustRightInd w:val="0"/>
        <w:snapToGrid w:val="0"/>
        <w:spacing w:line="440" w:lineRule="exact"/>
        <w:ind w:firstLine="479" w:firstLineChars="227"/>
        <w:rPr>
          <w:rFonts w:ascii="宋体" w:hAnsi="宋体"/>
          <w:b/>
        </w:rPr>
      </w:pPr>
      <w:r>
        <w:rPr>
          <w:rFonts w:hint="eastAsia" w:ascii="宋体" w:hAnsi="宋体"/>
          <w:b/>
        </w:rPr>
        <w:t>七、采购项目联系人姓名和电话</w:t>
      </w:r>
    </w:p>
    <w:p>
      <w:pPr>
        <w:adjustRightInd w:val="0"/>
        <w:snapToGrid w:val="0"/>
        <w:spacing w:line="440" w:lineRule="exact"/>
        <w:ind w:firstLine="476" w:firstLineChars="227"/>
        <w:rPr>
          <w:rFonts w:hint="eastAsia" w:ascii="宋体" w:hAnsi="宋体" w:eastAsia="宋体"/>
          <w:bCs/>
          <w:lang w:eastAsia="zh-CN"/>
        </w:rPr>
      </w:pPr>
      <w:r>
        <w:rPr>
          <w:rFonts w:hint="eastAsia" w:ascii="宋体" w:hAnsi="宋体"/>
          <w:bCs/>
        </w:rPr>
        <w:t>采 购 人：</w:t>
      </w:r>
      <w:r>
        <w:rPr>
          <w:rFonts w:hint="eastAsia" w:ascii="宋体" w:hAnsi="宋体"/>
          <w:bCs/>
          <w:lang w:eastAsia="zh-CN"/>
        </w:rPr>
        <w:t>南华大学附属第一医院</w:t>
      </w:r>
    </w:p>
    <w:p>
      <w:pPr>
        <w:adjustRightInd w:val="0"/>
        <w:snapToGrid w:val="0"/>
        <w:spacing w:line="440" w:lineRule="exact"/>
        <w:ind w:firstLine="476" w:firstLineChars="227"/>
        <w:rPr>
          <w:rFonts w:hint="eastAsia" w:ascii="宋体" w:hAnsi="宋体"/>
          <w:bCs/>
          <w:lang w:eastAsia="zh-CN"/>
        </w:rPr>
      </w:pPr>
      <w:r>
        <w:rPr>
          <w:rFonts w:hint="eastAsia" w:ascii="宋体" w:hAnsi="宋体"/>
          <w:bCs/>
        </w:rPr>
        <w:t>地 址：</w:t>
      </w:r>
      <w:r>
        <w:rPr>
          <w:rFonts w:hint="eastAsia" w:ascii="宋体" w:hAnsi="宋体" w:cs="宋体"/>
          <w:szCs w:val="21"/>
          <w:lang w:eastAsia="zh-CN"/>
        </w:rPr>
        <w:t>湖南省衡阳市船山路69号</w:t>
      </w:r>
    </w:p>
    <w:p>
      <w:pPr>
        <w:adjustRightInd w:val="0"/>
        <w:snapToGrid w:val="0"/>
        <w:spacing w:line="440" w:lineRule="exact"/>
        <w:ind w:firstLine="476" w:firstLineChars="227"/>
        <w:rPr>
          <w:rFonts w:hint="default" w:ascii="宋体" w:hAnsi="宋体"/>
          <w:bCs/>
          <w:lang w:val="en-US" w:eastAsia="zh-CN"/>
        </w:rPr>
      </w:pPr>
      <w:r>
        <w:rPr>
          <w:rFonts w:hint="eastAsia" w:ascii="宋体" w:hAnsi="宋体"/>
          <w:bCs/>
          <w:lang w:eastAsia="zh-CN"/>
        </w:rPr>
        <w:t xml:space="preserve">联系人：肖老师     </w:t>
      </w:r>
      <w:r>
        <w:rPr>
          <w:rFonts w:hint="eastAsia" w:ascii="宋体" w:hAnsi="宋体"/>
          <w:bCs/>
          <w:lang w:val="en-US" w:eastAsia="zh-CN"/>
        </w:rPr>
        <w:t xml:space="preserve">  </w:t>
      </w:r>
      <w:r>
        <w:rPr>
          <w:rFonts w:hint="eastAsia" w:ascii="宋体" w:hAnsi="宋体"/>
          <w:bCs/>
          <w:lang w:eastAsia="zh-CN"/>
        </w:rPr>
        <w:t>电话：</w:t>
      </w:r>
      <w:r>
        <w:rPr>
          <w:rFonts w:hint="eastAsia" w:ascii="宋体" w:hAnsi="宋体"/>
          <w:bCs/>
          <w:lang w:val="en-US" w:eastAsia="zh-CN"/>
        </w:rPr>
        <w:t>17680343068</w:t>
      </w:r>
    </w:p>
    <w:p>
      <w:pPr>
        <w:adjustRightInd w:val="0"/>
        <w:snapToGrid w:val="0"/>
        <w:spacing w:line="440" w:lineRule="exact"/>
        <w:ind w:firstLine="476" w:firstLineChars="227"/>
        <w:rPr>
          <w:rFonts w:hint="eastAsia" w:ascii="宋体" w:hAnsi="宋体"/>
          <w:bCs/>
          <w:lang w:eastAsia="zh-CN"/>
        </w:rPr>
      </w:pPr>
    </w:p>
    <w:p>
      <w:pPr>
        <w:adjustRightInd w:val="0"/>
        <w:snapToGrid w:val="0"/>
        <w:spacing w:line="440" w:lineRule="exact"/>
        <w:ind w:firstLine="476" w:firstLineChars="227"/>
        <w:rPr>
          <w:rFonts w:hint="eastAsia" w:ascii="宋体" w:hAnsi="宋体"/>
          <w:bCs/>
          <w:lang w:eastAsia="zh-CN"/>
        </w:rPr>
      </w:pPr>
      <w:r>
        <w:rPr>
          <w:rFonts w:hint="eastAsia" w:ascii="宋体" w:hAnsi="宋体"/>
          <w:bCs/>
          <w:lang w:eastAsia="zh-CN"/>
        </w:rPr>
        <w:t>采购代理：阶梯项目咨询有限公司</w:t>
      </w:r>
    </w:p>
    <w:p>
      <w:pPr>
        <w:adjustRightInd w:val="0"/>
        <w:snapToGrid w:val="0"/>
        <w:spacing w:line="440" w:lineRule="exact"/>
        <w:ind w:firstLine="476" w:firstLineChars="227"/>
        <w:rPr>
          <w:rFonts w:hint="eastAsia" w:ascii="宋体" w:hAnsi="宋体"/>
          <w:bCs/>
          <w:lang w:eastAsia="zh-CN"/>
        </w:rPr>
      </w:pPr>
      <w:r>
        <w:rPr>
          <w:rFonts w:hint="eastAsia" w:ascii="宋体" w:hAnsi="宋体"/>
          <w:bCs/>
          <w:lang w:eastAsia="zh-CN"/>
        </w:rPr>
        <w:t xml:space="preserve">单位地址：衡阳市蒸湘区光辉街55号英伦中央首府第3幢 </w:t>
      </w:r>
    </w:p>
    <w:p>
      <w:pPr>
        <w:adjustRightInd w:val="0"/>
        <w:snapToGrid w:val="0"/>
        <w:spacing w:line="440" w:lineRule="exact"/>
        <w:ind w:firstLine="476" w:firstLineChars="227"/>
        <w:rPr>
          <w:rFonts w:hint="eastAsia" w:ascii="宋体" w:hAnsi="宋体"/>
          <w:bCs/>
          <w:lang w:val="en-US" w:eastAsia="zh-CN"/>
        </w:rPr>
      </w:pPr>
      <w:r>
        <w:rPr>
          <w:rFonts w:hint="eastAsia" w:ascii="宋体" w:hAnsi="宋体"/>
          <w:bCs/>
          <w:lang w:eastAsia="zh-CN"/>
        </w:rPr>
        <w:t>联 系 人：李女士     电话：0734-3111123</w:t>
      </w:r>
    </w:p>
    <w:p>
      <w:pPr>
        <w:rPr>
          <w:rFonts w:hint="eastAsia"/>
          <w:lang w:eastAsia="zh-CN"/>
        </w:rPr>
      </w:pPr>
    </w:p>
    <w:p>
      <w:pPr>
        <w:adjustRightInd w:val="0"/>
        <w:snapToGrid w:val="0"/>
        <w:spacing w:line="360" w:lineRule="auto"/>
        <w:jc w:val="center"/>
        <w:outlineLvl w:val="9"/>
        <w:rPr>
          <w:rFonts w:hint="eastAsia" w:ascii="黑体" w:hAnsi="华文中宋" w:eastAsia="黑体"/>
          <w:b/>
          <w:color w:val="auto"/>
          <w:sz w:val="32"/>
          <w:szCs w:val="32"/>
        </w:rPr>
      </w:pPr>
      <w:r>
        <w:rPr>
          <w:rFonts w:hint="eastAsia" w:ascii="黑体" w:hAnsi="华文中宋" w:eastAsia="黑体"/>
          <w:b/>
          <w:sz w:val="32"/>
          <w:szCs w:val="32"/>
        </w:rPr>
        <w:br w:type="page"/>
      </w:r>
    </w:p>
    <w:p>
      <w:pPr>
        <w:pStyle w:val="26"/>
        <w:adjustRightInd w:val="0"/>
        <w:snapToGrid w:val="0"/>
        <w:spacing w:line="360" w:lineRule="auto"/>
        <w:jc w:val="center"/>
        <w:outlineLvl w:val="0"/>
        <w:rPr>
          <w:rFonts w:ascii="黑体" w:hAnsi="华文中宋" w:eastAsia="黑体"/>
          <w:b/>
          <w:color w:val="auto"/>
          <w:spacing w:val="100"/>
          <w:sz w:val="32"/>
          <w:szCs w:val="32"/>
        </w:rPr>
      </w:pPr>
      <w:bookmarkStart w:id="3" w:name="_Toc23127"/>
      <w:bookmarkStart w:id="4" w:name="_Toc15590"/>
      <w:bookmarkStart w:id="5" w:name="_Toc454"/>
      <w:bookmarkStart w:id="6" w:name="_Toc1540"/>
      <w:bookmarkStart w:id="7" w:name="_Toc32696"/>
      <w:r>
        <w:rPr>
          <w:rFonts w:hint="eastAsia" w:ascii="黑体" w:hAnsi="华文中宋" w:eastAsia="黑体"/>
          <w:b/>
          <w:color w:val="auto"/>
          <w:sz w:val="32"/>
          <w:szCs w:val="32"/>
        </w:rPr>
        <w:t>第二章 投标须知</w:t>
      </w:r>
      <w:bookmarkEnd w:id="2"/>
      <w:bookmarkEnd w:id="3"/>
      <w:bookmarkEnd w:id="4"/>
      <w:bookmarkEnd w:id="5"/>
      <w:bookmarkEnd w:id="6"/>
      <w:bookmarkEnd w:id="7"/>
    </w:p>
    <w:p>
      <w:pPr>
        <w:pStyle w:val="8"/>
        <w:adjustRightInd w:val="0"/>
        <w:snapToGrid w:val="0"/>
        <w:jc w:val="center"/>
        <w:rPr>
          <w:rFonts w:ascii="黑体" w:hAnsi="华文中宋" w:eastAsia="黑体"/>
          <w:color w:val="auto"/>
          <w:spacing w:val="100"/>
          <w:sz w:val="28"/>
          <w:szCs w:val="28"/>
        </w:rPr>
      </w:pPr>
      <w:bookmarkStart w:id="8" w:name="_Toc24305"/>
      <w:bookmarkStart w:id="9" w:name="_Toc4260"/>
      <w:bookmarkStart w:id="10" w:name="_Toc29693"/>
      <w:bookmarkStart w:id="11" w:name="_Toc12114"/>
      <w:bookmarkStart w:id="12" w:name="_Toc22807"/>
      <w:bookmarkStart w:id="13" w:name="_Toc35446155"/>
      <w:r>
        <w:rPr>
          <w:rFonts w:hint="eastAsia" w:ascii="黑体" w:hAnsi="华文中宋" w:eastAsia="黑体"/>
          <w:color w:val="auto"/>
          <w:sz w:val="28"/>
          <w:szCs w:val="28"/>
        </w:rPr>
        <w:t>投标须知前附表</w:t>
      </w:r>
      <w:bookmarkEnd w:id="8"/>
      <w:bookmarkEnd w:id="9"/>
      <w:bookmarkEnd w:id="10"/>
      <w:bookmarkEnd w:id="11"/>
      <w:bookmarkEnd w:id="12"/>
      <w:bookmarkEnd w:id="13"/>
    </w:p>
    <w:p>
      <w:pPr>
        <w:adjustRightInd w:val="0"/>
        <w:snapToGrid w:val="0"/>
        <w:spacing w:line="360" w:lineRule="auto"/>
        <w:ind w:right="31" w:rightChars="15"/>
        <w:jc w:val="left"/>
        <w:rPr>
          <w:rFonts w:asciiTheme="minorEastAsia" w:hAnsiTheme="minorEastAsia" w:eastAsiaTheme="minorEastAsia"/>
          <w:iCs/>
          <w:color w:val="auto"/>
          <w:szCs w:val="21"/>
        </w:rPr>
      </w:pPr>
      <w:r>
        <w:rPr>
          <w:rFonts w:hint="eastAsia" w:asciiTheme="minorEastAsia" w:hAnsiTheme="minorEastAsia" w:eastAsiaTheme="minorEastAsia"/>
          <w:iCs/>
          <w:color w:val="auto"/>
          <w:szCs w:val="21"/>
        </w:rPr>
        <w:t>注：本项目启用的条款在“编列内容规定”栏内以“■”标注。</w:t>
      </w:r>
    </w:p>
    <w:tbl>
      <w:tblPr>
        <w:tblStyle w:val="47"/>
        <w:tblW w:w="89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22"/>
        <w:gridCol w:w="3270"/>
        <w:gridCol w:w="42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blHeade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条款号</w:t>
            </w:r>
          </w:p>
        </w:tc>
        <w:tc>
          <w:tcPr>
            <w:tcW w:w="3270" w:type="dxa"/>
            <w:vAlign w:val="center"/>
          </w:tcPr>
          <w:p>
            <w:pPr>
              <w:adjustRightInd w:val="0"/>
              <w:snapToGrid w:val="0"/>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条款名称</w:t>
            </w:r>
          </w:p>
        </w:tc>
        <w:tc>
          <w:tcPr>
            <w:tcW w:w="4266" w:type="dxa"/>
            <w:vAlign w:val="center"/>
          </w:tcPr>
          <w:p>
            <w:pPr>
              <w:adjustRightInd w:val="0"/>
              <w:snapToGrid w:val="0"/>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第1.1款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采购项目</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南华大学附属第一医院污水处理站运营托管服务采购项目重新立项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第1.2款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专门面向中小企业采购</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专门面向中小企业采购</w:t>
            </w:r>
            <w:r>
              <w:rPr>
                <w:rFonts w:hint="eastAsia" w:asciiTheme="minorEastAsia" w:hAnsiTheme="minorEastAsia" w:eastAsiaTheme="minorEastAsia" w:cstheme="minorEastAsia"/>
                <w:color w:val="auto"/>
                <w:kern w:val="0"/>
                <w:sz w:val="21"/>
                <w:szCs w:val="21"/>
              </w:rPr>
              <w:t>。</w:t>
            </w:r>
          </w:p>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Cs/>
                <w:color w:val="auto"/>
                <w:sz w:val="21"/>
                <w:szCs w:val="21"/>
              </w:rPr>
              <w:t>■</w:t>
            </w:r>
            <w:r>
              <w:rPr>
                <w:rFonts w:hint="eastAsia" w:asciiTheme="minorEastAsia" w:hAnsiTheme="minorEastAsia" w:eastAsiaTheme="minorEastAsia" w:cstheme="minorEastAsia"/>
                <w:color w:val="auto"/>
                <w:sz w:val="21"/>
                <w:szCs w:val="21"/>
              </w:rPr>
              <w:t xml:space="preserve"> 非专门面向中小企业采购：</w:t>
            </w:r>
          </w:p>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给予小型和微型企业产品的价格给予6%-10%的扣除，用扣除后的价格参与评审，本项目具体扣除比例为</w:t>
            </w:r>
            <w:r>
              <w:rPr>
                <w:rFonts w:hint="eastAsia" w:asciiTheme="minorEastAsia" w:hAnsiTheme="minorEastAsia" w:eastAsiaTheme="minorEastAsia" w:cstheme="minorEastAsia"/>
                <w:color w:val="auto"/>
                <w:sz w:val="21"/>
                <w:szCs w:val="21"/>
                <w:u w:val="single"/>
              </w:rPr>
              <w:t>6</w:t>
            </w:r>
            <w:r>
              <w:rPr>
                <w:rFonts w:hint="eastAsia" w:asciiTheme="minorEastAsia" w:hAnsiTheme="minorEastAsia" w:eastAsiaTheme="minorEastAsia" w:cstheme="minorEastAsia"/>
                <w:color w:val="auto"/>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第2.1款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南华大学附属第一医院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第2.2款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采购代理机构</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阶梯项目咨询有限公司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第2.6款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采购进口产品</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本项目不接受进口产品投标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第3.2款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联合体投标</w:t>
            </w:r>
          </w:p>
        </w:tc>
        <w:tc>
          <w:tcPr>
            <w:tcW w:w="4266"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本次招标不接受联合体投标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第6.2</w:t>
            </w:r>
            <w:r>
              <w:rPr>
                <w:rFonts w:hint="eastAsia" w:asciiTheme="minorEastAsia" w:hAnsiTheme="minorEastAsia" w:eastAsiaTheme="minorEastAsia" w:cstheme="minorEastAsia"/>
                <w:color w:val="auto"/>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组织现场考察或者召开答疑会</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■不组织</w:t>
            </w:r>
          </w:p>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第7.2款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提交投标文件截止时间</w:t>
            </w:r>
          </w:p>
        </w:tc>
        <w:tc>
          <w:tcPr>
            <w:tcW w:w="4266" w:type="dxa"/>
            <w:vAlign w:val="center"/>
          </w:tcPr>
          <w:p>
            <w:pPr>
              <w:adjustRightInd w:val="0"/>
              <w:snapToGrid w:val="0"/>
              <w:spacing w:line="360" w:lineRule="auto"/>
              <w:ind w:left="210" w:leftChars="0" w:hanging="210" w:hangingChars="100"/>
              <w:rPr>
                <w:rFonts w:hint="eastAsia" w:asciiTheme="minorEastAsia" w:hAnsiTheme="minorEastAsia" w:eastAsiaTheme="minorEastAsia" w:cstheme="minorEastAsia"/>
                <w:color w:val="auto"/>
                <w:sz w:val="21"/>
                <w:szCs w:val="21"/>
                <w:u w:val="single"/>
              </w:rPr>
            </w:pP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上</w:t>
            </w:r>
            <w:r>
              <w:rPr>
                <w:rFonts w:hint="eastAsia" w:ascii="宋体" w:hAnsi="宋体" w:cs="宋体"/>
                <w:color w:val="auto"/>
                <w:szCs w:val="21"/>
                <w:lang w:eastAsia="zh-CN"/>
              </w:rPr>
              <w:t>午</w:t>
            </w:r>
            <w:r>
              <w:rPr>
                <w:rFonts w:hint="eastAsia" w:ascii="宋体" w:hAnsi="宋体" w:cs="宋体"/>
                <w:color w:val="auto"/>
                <w:szCs w:val="21"/>
                <w:lang w:val="en-US" w:eastAsia="zh-CN"/>
              </w:rPr>
              <w:t>9</w:t>
            </w:r>
            <w:r>
              <w:rPr>
                <w:rFonts w:hint="eastAsia" w:ascii="宋体" w:hAnsi="宋体"/>
                <w:bCs/>
                <w:color w:val="auto"/>
              </w:rPr>
              <w:t>时</w:t>
            </w:r>
            <w:r>
              <w:rPr>
                <w:rFonts w:hint="eastAsia" w:ascii="宋体" w:hAnsi="宋体"/>
                <w:bCs/>
                <w:color w:val="auto"/>
                <w:lang w:val="en-US" w:eastAsia="zh-CN"/>
              </w:rPr>
              <w:t>00</w:t>
            </w:r>
            <w:r>
              <w:rPr>
                <w:rFonts w:hint="eastAsia" w:ascii="宋体" w:hAnsi="宋体"/>
                <w:bCs/>
                <w:color w:val="auto"/>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第10.1款</w:t>
            </w:r>
          </w:p>
        </w:tc>
        <w:tc>
          <w:tcPr>
            <w:tcW w:w="3270" w:type="dxa"/>
            <w:vAlign w:val="center"/>
          </w:tcPr>
          <w:p>
            <w:pPr>
              <w:adjustRightInd w:val="0"/>
              <w:snapToGrid w:val="0"/>
              <w:spacing w:line="360" w:lineRule="auto"/>
              <w:ind w:left="210" w:leftChars="0" w:hanging="210" w:hangingChars="100"/>
              <w:rPr>
                <w:rFonts w:hint="eastAsia" w:ascii="宋体" w:hAnsi="宋体" w:cs="宋体"/>
                <w:color w:val="auto"/>
                <w:szCs w:val="21"/>
                <w:lang w:val="en-US" w:eastAsia="zh-CN"/>
              </w:rPr>
            </w:pPr>
            <w:r>
              <w:rPr>
                <w:rFonts w:hint="eastAsia" w:ascii="宋体" w:hAnsi="宋体" w:cs="宋体"/>
                <w:color w:val="auto"/>
                <w:szCs w:val="21"/>
                <w:lang w:val="en-US" w:eastAsia="zh-CN"/>
              </w:rPr>
              <w:t>指定的媒体</w:t>
            </w:r>
          </w:p>
        </w:tc>
        <w:tc>
          <w:tcPr>
            <w:tcW w:w="4266" w:type="dxa"/>
            <w:vAlign w:val="center"/>
          </w:tcPr>
          <w:p>
            <w:pPr>
              <w:adjustRightInd w:val="0"/>
              <w:snapToGrid w:val="0"/>
              <w:spacing w:line="360" w:lineRule="auto"/>
              <w:ind w:left="210" w:leftChars="0" w:hanging="210" w:hangingChars="100"/>
              <w:jc w:val="left"/>
              <w:rPr>
                <w:rFonts w:hint="eastAsia" w:ascii="宋体" w:hAnsi="宋体" w:cs="宋体"/>
                <w:color w:val="auto"/>
                <w:szCs w:val="21"/>
                <w:lang w:val="en-US" w:eastAsia="zh-CN"/>
              </w:rPr>
            </w:pPr>
            <w:r>
              <w:rPr>
                <w:rFonts w:hint="eastAsia" w:ascii="宋体" w:hAnsi="宋体" w:cs="宋体"/>
                <w:color w:val="auto"/>
                <w:szCs w:val="21"/>
                <w:lang w:val="en-US" w:eastAsia="zh-CN"/>
              </w:rPr>
              <w:t>湖南政府采购网（http://www.ccgp-hunan.gov.cn/）</w:t>
            </w:r>
          </w:p>
          <w:p>
            <w:pPr>
              <w:adjustRightInd w:val="0"/>
              <w:snapToGrid w:val="0"/>
              <w:spacing w:line="360" w:lineRule="auto"/>
              <w:ind w:left="210" w:leftChars="0" w:hanging="210" w:hangingChars="100"/>
              <w:jc w:val="left"/>
              <w:rPr>
                <w:rFonts w:hint="eastAsia" w:ascii="宋体" w:hAnsi="宋体" w:cs="宋体"/>
                <w:color w:val="auto"/>
                <w:szCs w:val="21"/>
                <w:lang w:val="en-US" w:eastAsia="zh-CN"/>
              </w:rPr>
            </w:pPr>
            <w:r>
              <w:rPr>
                <w:rFonts w:hint="eastAsia" w:ascii="宋体" w:hAnsi="宋体" w:cs="宋体"/>
                <w:color w:val="auto"/>
                <w:szCs w:val="21"/>
                <w:lang w:val="en-US" w:eastAsia="zh-CN"/>
              </w:rPr>
              <w:t>衡阳市公告资源交易网</w:t>
            </w:r>
          </w:p>
          <w:p>
            <w:pPr>
              <w:adjustRightInd w:val="0"/>
              <w:snapToGrid w:val="0"/>
              <w:spacing w:line="360" w:lineRule="auto"/>
              <w:ind w:left="210" w:leftChars="0" w:hanging="210" w:hangingChars="100"/>
              <w:jc w:val="left"/>
              <w:rPr>
                <w:rFonts w:hint="eastAsia" w:ascii="宋体" w:hAnsi="宋体" w:cs="宋体"/>
                <w:color w:val="auto"/>
                <w:szCs w:val="21"/>
                <w:lang w:val="en-US" w:eastAsia="zh-CN"/>
              </w:rPr>
            </w:pPr>
            <w:r>
              <w:rPr>
                <w:rFonts w:hint="eastAsia" w:ascii="宋体" w:hAnsi="宋体" w:cs="宋体"/>
                <w:color w:val="auto"/>
                <w:szCs w:val="21"/>
                <w:lang w:val="en-US" w:eastAsia="zh-CN"/>
              </w:rPr>
              <w:t>（https://ggzy.hengyang.gov.cn/）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三、投标文件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第14.1款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投标报价的规定</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bookmarkStart w:id="14" w:name="EBa308d5cf6e774cd1846fa521ebf5677e"/>
            <w:r>
              <w:rPr>
                <w:rFonts w:hint="eastAsia" w:ascii="宋体" w:hAnsi="宋体" w:cs="宋体"/>
              </w:rPr>
              <w:t>按</w:t>
            </w:r>
            <w:r>
              <w:rPr>
                <w:rFonts w:hint="eastAsia" w:ascii="宋体" w:hAnsi="宋体" w:cs="宋体"/>
                <w:lang w:eastAsia="zh-CN"/>
              </w:rPr>
              <w:t>采购</w:t>
            </w:r>
            <w:r>
              <w:rPr>
                <w:rFonts w:hint="eastAsia" w:ascii="宋体" w:hAnsi="宋体" w:cs="宋体"/>
              </w:rPr>
              <w:t>文件第二章14款要求报价。</w:t>
            </w:r>
            <w:bookmarkEnd w:id="1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第14.5</w:t>
            </w:r>
            <w:r>
              <w:rPr>
                <w:rFonts w:hint="eastAsia" w:asciiTheme="minorEastAsia" w:hAnsiTheme="minorEastAsia" w:eastAsiaTheme="minorEastAsia" w:cstheme="minorEastAsia"/>
                <w:color w:val="auto"/>
                <w:kern w:val="0"/>
                <w:sz w:val="21"/>
                <w:szCs w:val="21"/>
                <w:lang w:val="zh-CN"/>
              </w:rPr>
              <w:t>款</w:t>
            </w:r>
          </w:p>
        </w:tc>
        <w:tc>
          <w:tcPr>
            <w:tcW w:w="327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采购预算、最高限价</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采购预算</w:t>
            </w:r>
            <w:r>
              <w:rPr>
                <w:rFonts w:hint="eastAsia" w:asciiTheme="minorEastAsia" w:hAnsiTheme="minorEastAsia" w:eastAsiaTheme="minorEastAsia" w:cstheme="minorEastAsia"/>
                <w:color w:val="auto"/>
                <w:sz w:val="21"/>
                <w:szCs w:val="21"/>
                <w:lang w:eastAsia="zh-CN"/>
              </w:rPr>
              <w:t>2338935</w:t>
            </w:r>
            <w:r>
              <w:rPr>
                <w:rFonts w:hint="eastAsia" w:asciiTheme="minorEastAsia" w:hAnsiTheme="minorEastAsia" w:eastAsiaTheme="minorEastAsia" w:cstheme="minorEastAsia"/>
                <w:color w:val="auto"/>
                <w:sz w:val="21"/>
                <w:szCs w:val="21"/>
              </w:rPr>
              <w:t>元；最高限价</w:t>
            </w:r>
            <w:r>
              <w:rPr>
                <w:rFonts w:hint="eastAsia" w:asciiTheme="minorEastAsia" w:hAnsiTheme="minorEastAsia" w:eastAsiaTheme="minorEastAsia" w:cstheme="minorEastAsia"/>
                <w:color w:val="auto"/>
                <w:sz w:val="21"/>
                <w:szCs w:val="21"/>
                <w:lang w:eastAsia="zh-CN"/>
              </w:rPr>
              <w:t>2338935</w:t>
            </w:r>
            <w:r>
              <w:rPr>
                <w:rFonts w:hint="eastAsia" w:asciiTheme="minorEastAsia" w:hAnsiTheme="minorEastAsia" w:eastAsiaTheme="minorEastAsia" w:cstheme="minorEastAsia"/>
                <w:color w:val="auto"/>
                <w:sz w:val="21"/>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第15.1款</w:t>
            </w:r>
          </w:p>
        </w:tc>
        <w:tc>
          <w:tcPr>
            <w:tcW w:w="3270" w:type="dxa"/>
            <w:vAlign w:val="center"/>
          </w:tcPr>
          <w:p>
            <w:pPr>
              <w:adjustRightInd w:val="0"/>
              <w:snapToGrid w:val="0"/>
              <w:spacing w:line="360" w:lineRule="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投标人应提供资格审查资料</w:t>
            </w:r>
          </w:p>
        </w:tc>
        <w:tc>
          <w:tcPr>
            <w:tcW w:w="4266" w:type="dxa"/>
            <w:vAlign w:val="center"/>
          </w:tcPr>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1、供应商基本资格条件：供应商必须是在中华人民共和国境内注册登记的法人、其他组织或者自然人，且应当符合《政府采购法》第二十二条的规定，即：</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（1）具有独立承担民事责任的能力；</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（2）具有良好的商业信誉和健全的财务会计制度；</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（3）具有履行合同所必需的设备和专业技术能力；</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（4）有依法缴纳税收和社会保障资金的良好记录；</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（5）参加政府采购活动前三年内，在经营活动中没有重大违法记录；</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（6）法律、行政法规规定的其他条件。</w:t>
            </w:r>
          </w:p>
          <w:p>
            <w:pPr>
              <w:pStyle w:val="41"/>
              <w:spacing w:after="0" w:line="360" w:lineRule="auto"/>
              <w:rPr>
                <w:rFonts w:hint="eastAsia" w:ascii="宋体" w:hAnsi="宋体" w:eastAsia="宋体" w:cs="Times New Roman"/>
                <w:sz w:val="21"/>
                <w:szCs w:val="21"/>
                <w:lang w:eastAsia="zh-CN"/>
              </w:rPr>
            </w:pPr>
            <w:r>
              <w:rPr>
                <w:rFonts w:hint="eastAsia" w:ascii="宋体" w:hAnsi="宋体" w:eastAsia="宋体" w:cs="Times New Roman"/>
                <w:sz w:val="21"/>
                <w:szCs w:val="21"/>
              </w:rPr>
              <w:t>2、投标人特定资格条件：</w:t>
            </w:r>
            <w:r>
              <w:rPr>
                <w:rFonts w:hint="eastAsia" w:ascii="宋体" w:hAnsi="宋体" w:eastAsia="宋体" w:cs="Times New Roman"/>
                <w:sz w:val="21"/>
                <w:szCs w:val="21"/>
                <w:lang w:eastAsia="zh-CN"/>
              </w:rPr>
              <w:t>无。</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3、单位负责人为同一人或者存在直接控股、管理关系的不同投标人，不得参加本项目同一合同项下的政府采购活动。</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4、未被列入失信被执行人、重大税收违法案件当事人名单，未被列入政府采购严重违法失信行为记录名单。</w:t>
            </w:r>
          </w:p>
          <w:p>
            <w:pPr>
              <w:pStyle w:val="41"/>
              <w:spacing w:after="0" w:line="360" w:lineRule="auto"/>
              <w:rPr>
                <w:rFonts w:hint="eastAsia" w:ascii="宋体" w:hAnsi="宋体" w:eastAsia="宋体" w:cs="Times New Roman"/>
                <w:sz w:val="21"/>
                <w:szCs w:val="21"/>
              </w:rPr>
            </w:pPr>
            <w:r>
              <w:rPr>
                <w:rFonts w:hint="eastAsia" w:ascii="宋体" w:hAnsi="宋体" w:eastAsia="宋体" w:cs="Times New Roman"/>
                <w:sz w:val="21"/>
                <w:szCs w:val="21"/>
              </w:rPr>
              <w:t>5、联合体投标:本次招标不接受联合体投标。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第17.1</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投标有效期</w:t>
            </w:r>
          </w:p>
        </w:tc>
        <w:tc>
          <w:tcPr>
            <w:tcW w:w="4266" w:type="dxa"/>
            <w:vAlign w:val="center"/>
          </w:tcPr>
          <w:p>
            <w:pPr>
              <w:adjustRightInd w:val="0"/>
              <w:snapToGrid w:val="0"/>
              <w:spacing w:line="36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90天（日历天）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第18.1</w:t>
            </w:r>
            <w:r>
              <w:rPr>
                <w:rFonts w:hint="eastAsia" w:asciiTheme="minorEastAsia" w:hAnsiTheme="minorEastAsia" w:eastAsiaTheme="minorEastAsia" w:cstheme="minorEastAsia"/>
                <w:kern w:val="0"/>
                <w:sz w:val="21"/>
                <w:szCs w:val="21"/>
                <w:lang w:val="zh-CN"/>
              </w:rPr>
              <w:t>款</w:t>
            </w:r>
          </w:p>
        </w:tc>
        <w:tc>
          <w:tcPr>
            <w:tcW w:w="3270" w:type="dxa"/>
            <w:vAlign w:val="center"/>
          </w:tcPr>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投标保证金</w:t>
            </w:r>
          </w:p>
        </w:tc>
        <w:tc>
          <w:tcPr>
            <w:tcW w:w="4266" w:type="dxa"/>
            <w:vAlign w:val="center"/>
          </w:tcPr>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 不要求提供</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fldChar w:fldCharType="begin"/>
            </w:r>
            <w:r>
              <w:rPr>
                <w:rFonts w:hint="eastAsia" w:ascii="宋体" w:hAnsi="宋体" w:eastAsia="宋体"/>
                <w:sz w:val="21"/>
                <w:szCs w:val="21"/>
              </w:rPr>
              <w:instrText xml:space="preserve">eq \o\ac(□,√)</w:instrText>
            </w:r>
            <w:r>
              <w:rPr>
                <w:rFonts w:hint="eastAsia" w:ascii="宋体" w:hAnsi="宋体" w:eastAsia="宋体"/>
                <w:sz w:val="21"/>
                <w:szCs w:val="21"/>
              </w:rPr>
              <w:fldChar w:fldCharType="end"/>
            </w:r>
            <w:r>
              <w:rPr>
                <w:rFonts w:hint="eastAsia" w:ascii="宋体" w:hAnsi="宋体" w:eastAsia="宋体"/>
                <w:sz w:val="21"/>
                <w:szCs w:val="21"/>
              </w:rPr>
              <w:t xml:space="preserve"> 要求提供</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投标保证金数额：</w:t>
            </w:r>
            <w:r>
              <w:rPr>
                <w:rFonts w:hint="eastAsia" w:hAnsi="宋体"/>
                <w:sz w:val="21"/>
                <w:szCs w:val="21"/>
                <w:lang w:val="en-US" w:eastAsia="zh-CN"/>
              </w:rPr>
              <w:t>肆万</w:t>
            </w:r>
            <w:r>
              <w:rPr>
                <w:rFonts w:hint="eastAsia" w:ascii="宋体" w:hAnsi="宋体" w:eastAsia="宋体"/>
                <w:sz w:val="21"/>
                <w:szCs w:val="21"/>
              </w:rPr>
              <w:t>元整（￥</w:t>
            </w:r>
            <w:r>
              <w:rPr>
                <w:rFonts w:hint="eastAsia" w:hAnsi="宋体"/>
                <w:sz w:val="21"/>
                <w:szCs w:val="21"/>
                <w:lang w:val="en-US" w:eastAsia="zh-CN"/>
              </w:rPr>
              <w:t>40000</w:t>
            </w:r>
            <w:r>
              <w:rPr>
                <w:rFonts w:hint="eastAsia" w:ascii="宋体" w:hAnsi="宋体" w:eastAsia="宋体"/>
                <w:sz w:val="21"/>
                <w:szCs w:val="21"/>
              </w:rPr>
              <w:t>.00元 ）</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2.投标保证金缴纳时间：在投标文件递交截止时间前，以银行到账回单为准。</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3.缴纳方式：银行转帐或电子保函（保单）。</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3.1银行转账</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衡阳市公共资源交易中心在新系统公布多家保证金银行，新系统按供应商、按项目中的包（标段）自动生成一一对应的保证金子账号。供应商使用 CA 登 录 衡 阳 市 公 共 资源交易网 （http://ggzy.hengyang.gov.cn/），在“保证金生成”菜单中查看所有保证金银行名单并选择一家银行，点击“生成子账号”按钮，按项目及所投标的包（标段）获取对应的投标保证金子账号，并在投标截止时间前，从各供应商基本账户一次性汇入到选择的银行生成的保证金子账号中（以到账时间为准），点击“保证金查询”按钮可查询是否交纳成功。否则，将导致投标供应商无法交纳投标保证金，将导致在开标时无法查询供应商的投标保证金交纳情况，将导致流标。</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3.2电子保函（保单）</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3.2.1要求“一包（标段）一保单”，保单须针对具体项目的具体包（标段），保单支付时间须为所投项目保证金到账截止时间之前，保单有效期应与投标有效期一致。</w:t>
            </w:r>
          </w:p>
          <w:p>
            <w:pPr>
              <w:pStyle w:val="26"/>
              <w:adjustRightInd w:val="0"/>
              <w:snapToGrid w:val="0"/>
              <w:spacing w:line="360" w:lineRule="auto"/>
              <w:rPr>
                <w:rFonts w:hint="eastAsia" w:ascii="宋体" w:hAnsi="宋体" w:eastAsia="宋体"/>
                <w:sz w:val="21"/>
                <w:szCs w:val="21"/>
              </w:rPr>
            </w:pPr>
            <w:r>
              <w:rPr>
                <w:rFonts w:hint="eastAsia" w:ascii="宋体" w:hAnsi="宋体" w:eastAsia="宋体"/>
                <w:sz w:val="21"/>
                <w:szCs w:val="21"/>
              </w:rPr>
              <w:t>3.2.2投标电子保函采用电子保险保函和电子担保保函形式，投标人按自愿原则在投标截止时间前购买投标电子保函。投标人应登录衡阳市公共资源交易平台，进入衡阳市公共资源电子保函服务平台，办理投保手续。保费必须从投标人基本账户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第19.1</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分包</w:t>
            </w:r>
          </w:p>
        </w:tc>
        <w:tc>
          <w:tcPr>
            <w:tcW w:w="4266" w:type="dxa"/>
            <w:vAlign w:val="center"/>
          </w:tcPr>
          <w:p>
            <w:pPr>
              <w:adjustRightInd w:val="0"/>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□允许向外分包转包。</w:t>
            </w:r>
          </w:p>
          <w:p>
            <w:pPr>
              <w:adjustRightInd w:val="0"/>
              <w:snapToGrid w:val="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■不允许向外分包转包。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第20.1款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投标文件份数</w:t>
            </w:r>
          </w:p>
        </w:tc>
        <w:tc>
          <w:tcPr>
            <w:tcW w:w="4266" w:type="dxa"/>
            <w:vAlign w:val="center"/>
          </w:tcPr>
          <w:p>
            <w:pPr>
              <w:adjustRightInd w:val="0"/>
              <w:snapToGrid w:val="0"/>
              <w:spacing w:line="360" w:lineRule="auto"/>
              <w:rPr>
                <w:rFonts w:hint="eastAsia" w:asciiTheme="minorEastAsia" w:hAnsiTheme="minorEastAsia" w:eastAsiaTheme="minorEastAsia" w:cstheme="minorEastAsia"/>
                <w:b/>
                <w:color w:val="auto"/>
                <w:sz w:val="21"/>
                <w:szCs w:val="21"/>
                <w:u w:val="single"/>
              </w:rPr>
            </w:pPr>
            <w:r>
              <w:rPr>
                <w:rFonts w:hint="eastAsia" w:asciiTheme="minorEastAsia" w:hAnsiTheme="minorEastAsia" w:eastAsiaTheme="minorEastAsia" w:cstheme="minorEastAsia"/>
                <w:b/>
                <w:color w:val="auto"/>
                <w:sz w:val="21"/>
                <w:szCs w:val="21"/>
                <w:u w:val="single"/>
              </w:rPr>
              <w:t>资格证明文件正本一份，副本</w:t>
            </w:r>
            <w:r>
              <w:rPr>
                <w:rFonts w:hint="eastAsia" w:asciiTheme="minorEastAsia" w:hAnsiTheme="minorEastAsia" w:eastAsiaTheme="minorEastAsia" w:cstheme="minorEastAsia"/>
                <w:b/>
                <w:color w:val="auto"/>
                <w:sz w:val="21"/>
                <w:szCs w:val="21"/>
                <w:u w:val="single"/>
                <w:lang w:eastAsia="zh-CN"/>
              </w:rPr>
              <w:t>肆</w:t>
            </w:r>
            <w:r>
              <w:rPr>
                <w:rFonts w:hint="eastAsia" w:asciiTheme="minorEastAsia" w:hAnsiTheme="minorEastAsia" w:eastAsiaTheme="minorEastAsia" w:cstheme="minorEastAsia"/>
                <w:b/>
                <w:color w:val="auto"/>
                <w:sz w:val="21"/>
                <w:szCs w:val="21"/>
                <w:u w:val="single"/>
              </w:rPr>
              <w:t>份；</w:t>
            </w:r>
          </w:p>
          <w:p>
            <w:pPr>
              <w:adjustRightInd w:val="0"/>
              <w:snapToGrid w:val="0"/>
              <w:spacing w:line="360" w:lineRule="auto"/>
              <w:rPr>
                <w:rFonts w:hint="eastAsia" w:asciiTheme="minorEastAsia" w:hAnsiTheme="minorEastAsia" w:eastAsiaTheme="minorEastAsia" w:cstheme="minorEastAsia"/>
                <w:b/>
                <w:color w:val="auto"/>
                <w:sz w:val="21"/>
                <w:szCs w:val="21"/>
                <w:u w:val="single"/>
                <w:lang w:eastAsia="zh-CN"/>
              </w:rPr>
            </w:pPr>
            <w:r>
              <w:rPr>
                <w:rFonts w:hint="eastAsia" w:asciiTheme="minorEastAsia" w:hAnsiTheme="minorEastAsia" w:eastAsiaTheme="minorEastAsia" w:cstheme="minorEastAsia"/>
                <w:b/>
                <w:color w:val="auto"/>
                <w:sz w:val="21"/>
                <w:szCs w:val="21"/>
                <w:u w:val="single"/>
              </w:rPr>
              <w:t>商务技术文件正本一份，副本肆份</w:t>
            </w:r>
            <w:r>
              <w:rPr>
                <w:rFonts w:hint="eastAsia" w:asciiTheme="minorEastAsia" w:hAnsiTheme="minorEastAsia" w:eastAsiaTheme="minorEastAsia" w:cstheme="minorEastAsia"/>
                <w:b/>
                <w:color w:val="auto"/>
                <w:sz w:val="21"/>
                <w:szCs w:val="21"/>
                <w:u w:val="single"/>
                <w:lang w:eastAsia="zh-CN"/>
              </w:rPr>
              <w:t>；</w:t>
            </w:r>
          </w:p>
          <w:p>
            <w:pPr>
              <w:adjustRightInd w:val="0"/>
              <w:snapToGrid w:val="0"/>
              <w:spacing w:line="36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color w:val="auto"/>
                <w:sz w:val="21"/>
                <w:szCs w:val="21"/>
                <w:u w:val="single"/>
              </w:rPr>
              <w:t>电子版1份（电子U盘存储，</w:t>
            </w:r>
            <w:r>
              <w:rPr>
                <w:rFonts w:hint="eastAsia" w:asciiTheme="minorEastAsia" w:hAnsiTheme="minorEastAsia" w:eastAsiaTheme="minorEastAsia" w:cstheme="minorEastAsia"/>
                <w:b/>
                <w:bCs/>
                <w:color w:val="auto"/>
                <w:sz w:val="21"/>
                <w:szCs w:val="21"/>
                <w:u w:val="single"/>
              </w:rPr>
              <w:t>含资格证明文件及商务技术文件</w:t>
            </w:r>
            <w:r>
              <w:rPr>
                <w:rFonts w:hint="eastAsia" w:asciiTheme="minorEastAsia" w:hAnsiTheme="minorEastAsia" w:eastAsiaTheme="minorEastAsia" w:cstheme="minorEastAsia"/>
                <w:b/>
                <w:color w:val="auto"/>
                <w:sz w:val="21"/>
                <w:szCs w:val="21"/>
                <w:u w:val="singl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color w:val="auto"/>
                <w:sz w:val="21"/>
                <w:szCs w:val="21"/>
              </w:rPr>
              <w:t>四、投标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第22.1</w:t>
            </w:r>
            <w:r>
              <w:rPr>
                <w:rFonts w:hint="eastAsia" w:asciiTheme="minorEastAsia" w:hAnsiTheme="minorEastAsia" w:eastAsiaTheme="minorEastAsia" w:cstheme="minorEastAsia"/>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开标地点</w:t>
            </w:r>
          </w:p>
        </w:tc>
        <w:tc>
          <w:tcPr>
            <w:tcW w:w="4266" w:type="dxa"/>
            <w:vAlign w:val="center"/>
          </w:tcPr>
          <w:p>
            <w:pPr>
              <w:adjustRightInd w:val="0"/>
              <w:snapToGrid w:val="0"/>
              <w:spacing w:line="360" w:lineRule="auto"/>
              <w:rPr>
                <w:rFonts w:hint="eastAsia" w:asciiTheme="minorEastAsia" w:hAnsiTheme="minorEastAsia" w:eastAsiaTheme="minorEastAsia" w:cstheme="minorEastAsia"/>
                <w:b/>
                <w:bCs/>
                <w:color w:val="auto"/>
                <w:sz w:val="21"/>
                <w:szCs w:val="21"/>
              </w:rPr>
            </w:pPr>
            <w:r>
              <w:rPr>
                <w:rStyle w:val="168"/>
                <w:rFonts w:hint="eastAsia" w:asciiTheme="minorEastAsia" w:hAnsiTheme="minorEastAsia" w:eastAsiaTheme="minorEastAsia" w:cstheme="minorEastAsia"/>
                <w:bCs/>
                <w:color w:val="auto"/>
                <w:sz w:val="21"/>
                <w:szCs w:val="21"/>
              </w:rPr>
              <w:t>衡阳市公共资源交易中心二楼</w:t>
            </w:r>
            <w:r>
              <w:rPr>
                <w:rStyle w:val="168"/>
                <w:rFonts w:hint="eastAsia" w:asciiTheme="minorEastAsia" w:hAnsiTheme="minorEastAsia" w:eastAsiaTheme="minorEastAsia" w:cstheme="minorEastAsia"/>
                <w:bCs/>
                <w:color w:val="auto"/>
                <w:sz w:val="21"/>
                <w:szCs w:val="21"/>
                <w:lang w:val="en-US" w:eastAsia="zh-CN"/>
              </w:rPr>
              <w:t>电子竞拍大厅</w:t>
            </w:r>
            <w:r>
              <w:rPr>
                <w:rFonts w:hint="eastAsia" w:asciiTheme="minorEastAsia" w:hAnsiTheme="minorEastAsia" w:eastAsiaTheme="minorEastAsia" w:cstheme="minorEastAsia"/>
                <w:color w:val="auto"/>
                <w:sz w:val="21"/>
                <w:szCs w:val="21"/>
              </w:rPr>
              <w:t>（衡阳市衡州大道湘桂村蒸德大厦）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五、开标、资格审查和评标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第25.2</w:t>
            </w:r>
            <w:r>
              <w:rPr>
                <w:rFonts w:hint="eastAsia" w:asciiTheme="minorEastAsia" w:hAnsiTheme="minorEastAsia" w:eastAsiaTheme="minorEastAsia" w:cstheme="minorEastAsia"/>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需要宣布的其他内容</w:t>
            </w:r>
          </w:p>
        </w:tc>
        <w:tc>
          <w:tcPr>
            <w:tcW w:w="4266"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rPr>
            </w:pPr>
            <w:r>
              <w:rPr>
                <w:rFonts w:hint="eastAsia" w:ascii="宋体" w:hAnsi="宋体" w:cs="宋体"/>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lang w:val="en-US" w:eastAsia="zh-CN"/>
              </w:rPr>
              <w:t>27</w:t>
            </w:r>
            <w:r>
              <w:rPr>
                <w:rFonts w:hint="eastAsia" w:asciiTheme="minorEastAsia" w:hAnsiTheme="minorEastAsia" w:eastAsiaTheme="minorEastAsia" w:cstheme="minorEastAsia"/>
                <w:sz w:val="21"/>
                <w:szCs w:val="21"/>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评标委员会的组建</w:t>
            </w:r>
          </w:p>
        </w:tc>
        <w:tc>
          <w:tcPr>
            <w:tcW w:w="4266" w:type="dxa"/>
            <w:vAlign w:val="center"/>
          </w:tcPr>
          <w:p>
            <w:pPr>
              <w:spacing w:line="288" w:lineRule="auto"/>
              <w:rPr>
                <w:rFonts w:hint="default"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评标委员会构成：</w:t>
            </w:r>
            <w:r>
              <w:rPr>
                <w:rFonts w:hint="eastAsia" w:ascii="宋体" w:hAnsi="宋体" w:cs="宋体"/>
                <w:color w:val="auto"/>
                <w:szCs w:val="21"/>
                <w:highlight w:val="none"/>
                <w:lang w:val="en-US" w:eastAsia="zh-CN"/>
              </w:rPr>
              <w:t>5</w:t>
            </w:r>
            <w:r>
              <w:rPr>
                <w:rFonts w:hint="default" w:ascii="宋体" w:hAnsi="宋体" w:eastAsia="宋体" w:cs="宋体"/>
                <w:color w:val="auto"/>
                <w:szCs w:val="21"/>
                <w:highlight w:val="none"/>
                <w:lang w:val="en-US" w:eastAsia="zh-CN"/>
              </w:rPr>
              <w:t>人，经济、技术类专家</w:t>
            </w:r>
            <w:r>
              <w:rPr>
                <w:rFonts w:hint="eastAsia" w:ascii="宋体" w:hAnsi="宋体" w:cs="宋体"/>
                <w:color w:val="auto"/>
                <w:szCs w:val="21"/>
                <w:highlight w:val="none"/>
                <w:lang w:val="en-US" w:eastAsia="zh-CN"/>
              </w:rPr>
              <w:t>4</w:t>
            </w:r>
            <w:r>
              <w:rPr>
                <w:rFonts w:hint="default" w:ascii="宋体" w:hAnsi="宋体" w:eastAsia="宋体" w:cs="宋体"/>
                <w:color w:val="auto"/>
                <w:szCs w:val="21"/>
                <w:highlight w:val="none"/>
                <w:lang w:val="en-US" w:eastAsia="zh-CN"/>
              </w:rPr>
              <w:t>人，业主评委1人。</w:t>
            </w:r>
          </w:p>
          <w:p>
            <w:pPr>
              <w:adjustRightInd w:val="0"/>
              <w:snapToGrid w:val="0"/>
              <w:spacing w:line="280" w:lineRule="exact"/>
              <w:rPr>
                <w:rFonts w:hint="eastAsia" w:ascii="宋体" w:hAnsi="宋体" w:cs="宋体"/>
              </w:rPr>
            </w:pPr>
            <w:r>
              <w:rPr>
                <w:rFonts w:hint="eastAsia" w:ascii="宋体" w:hAnsi="宋体" w:eastAsia="宋体" w:cs="宋体"/>
                <w:color w:val="auto"/>
              </w:rPr>
              <w:t>评标专家确定方式： 随机抽取</w:t>
            </w:r>
            <w:r>
              <w:rPr>
                <w:rFonts w:hint="eastAsia" w:ascii="宋体" w:hAnsi="宋体" w:eastAsia="宋体" w:cs="宋体"/>
                <w:color w:val="auto"/>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六、中标信息公布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第29.2</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确定中标人的方式</w:t>
            </w:r>
          </w:p>
        </w:tc>
        <w:tc>
          <w:tcPr>
            <w:tcW w:w="4266" w:type="dxa"/>
            <w:vAlign w:val="center"/>
          </w:tcPr>
          <w:p>
            <w:pPr>
              <w:adjustRightInd w:val="0"/>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Theme="minorEastAsia" w:hAnsiTheme="minorEastAsia" w:eastAsiaTheme="minorEastAsia" w:cstheme="minorEastAsia"/>
                <w:bCs/>
                <w:sz w:val="21"/>
                <w:szCs w:val="21"/>
              </w:rPr>
              <w:t>招标文件未规定的，采取随机抽取的方式确定。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第30.5</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接收质疑函的联系部门、联系电话和通讯地址</w:t>
            </w:r>
          </w:p>
        </w:tc>
        <w:tc>
          <w:tcPr>
            <w:tcW w:w="4266" w:type="dxa"/>
            <w:vAlign w:val="center"/>
          </w:tcPr>
          <w:p>
            <w:pPr>
              <w:adjustRightInd w:val="0"/>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bCs/>
                <w:sz w:val="21"/>
                <w:szCs w:val="21"/>
                <w:lang w:eastAsia="zh-CN"/>
              </w:rPr>
              <w:t>李女士</w:t>
            </w:r>
            <w:r>
              <w:rPr>
                <w:rFonts w:hint="eastAsia" w:asciiTheme="minorEastAsia" w:hAnsiTheme="minorEastAsia" w:eastAsiaTheme="minorEastAsia" w:cstheme="minorEastAsia"/>
                <w:sz w:val="21"/>
                <w:szCs w:val="21"/>
              </w:rPr>
              <w:t xml:space="preserve">     </w:t>
            </w:r>
          </w:p>
          <w:p>
            <w:pPr>
              <w:adjustRightInd w:val="0"/>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bCs/>
                <w:sz w:val="21"/>
                <w:szCs w:val="21"/>
                <w:lang w:eastAsia="zh-CN"/>
              </w:rPr>
              <w:t>0734-3111123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第32.1</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履约担保</w:t>
            </w:r>
          </w:p>
        </w:tc>
        <w:tc>
          <w:tcPr>
            <w:tcW w:w="4266" w:type="dxa"/>
            <w:vAlign w:val="center"/>
          </w:tcPr>
          <w:p>
            <w:pPr>
              <w:adjustRightInd w:val="0"/>
              <w:snapToGrid w:val="0"/>
              <w:spacing w:line="360" w:lineRule="auto"/>
              <w:rPr>
                <w:rFonts w:hint="eastAsia" w:asciiTheme="minorEastAsia" w:hAnsiTheme="minorEastAsia" w:eastAsiaTheme="minorEastAsia" w:cstheme="minorEastAsia"/>
                <w:strike/>
                <w:sz w:val="21"/>
                <w:szCs w:val="21"/>
              </w:rPr>
            </w:pPr>
            <w:r>
              <w:rPr>
                <w:rFonts w:hint="eastAsia" w:asciiTheme="minorEastAsia" w:hAnsiTheme="minorEastAsia" w:eastAsiaTheme="minorEastAsia" w:cstheme="minorEastAsia"/>
                <w:sz w:val="21"/>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8" w:type="dxa"/>
            <w:gridSpan w:val="3"/>
            <w:vAlign w:val="center"/>
          </w:tcPr>
          <w:p>
            <w:pPr>
              <w:adjustRightInd w:val="0"/>
              <w:snapToGri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八、其他规定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第36.1</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招标代理服务费</w:t>
            </w:r>
          </w:p>
        </w:tc>
        <w:tc>
          <w:tcPr>
            <w:tcW w:w="4266" w:type="dxa"/>
            <w:vAlign w:val="center"/>
          </w:tcPr>
          <w:p>
            <w:pPr>
              <w:pStyle w:val="2"/>
              <w:spacing w:line="360" w:lineRule="auto"/>
              <w:ind w:left="0" w:leftChars="0" w:firstLine="0" w:firstLineChars="0"/>
              <w:rPr>
                <w:rFonts w:hint="eastAsia" w:asciiTheme="minorEastAsia" w:hAnsiTheme="minorEastAsia" w:eastAsiaTheme="minorEastAsia" w:cstheme="minorEastAsia"/>
                <w:sz w:val="21"/>
                <w:szCs w:val="21"/>
              </w:rPr>
            </w:pPr>
            <w:r>
              <w:rPr>
                <w:rFonts w:hint="eastAsia" w:ascii="宋体" w:hAnsi="宋体"/>
              </w:rPr>
              <w:t>招标代理服务费由中标单位支付，支付金额不超过：</w:t>
            </w:r>
            <w:r>
              <w:rPr>
                <w:rFonts w:hint="eastAsia" w:ascii="宋体" w:hAnsi="宋体"/>
                <w:u w:val="none"/>
                <w:lang w:val="en-US" w:eastAsia="zh-CN"/>
              </w:rPr>
              <w:t>17998</w:t>
            </w:r>
            <w:r>
              <w:rPr>
                <w:rFonts w:hint="eastAsia" w:ascii="宋体" w:hAnsi="宋体"/>
                <w:u w:val="none"/>
              </w:rPr>
              <w:t>元</w:t>
            </w:r>
            <w:r>
              <w:rPr>
                <w:rFonts w:hint="eastAsia" w:ascii="宋体" w:hAnsi="宋体"/>
              </w:rPr>
              <w:t>。评审费按实结算。投标人在递交投标文件的同时，将视为同意承担本项上述表述费用。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22" w:type="dxa"/>
            <w:vAlign w:val="center"/>
          </w:tcPr>
          <w:p>
            <w:pPr>
              <w:adjustRightInd w:val="0"/>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第37.1</w:t>
            </w:r>
            <w:r>
              <w:rPr>
                <w:rFonts w:hint="eastAsia" w:asciiTheme="minorEastAsia" w:hAnsiTheme="minorEastAsia" w:eastAsiaTheme="minorEastAsia" w:cstheme="minorEastAsia"/>
                <w:kern w:val="0"/>
                <w:sz w:val="21"/>
                <w:szCs w:val="21"/>
                <w:lang w:val="zh-CN"/>
              </w:rPr>
              <w:t>款</w:t>
            </w:r>
          </w:p>
        </w:tc>
        <w:tc>
          <w:tcPr>
            <w:tcW w:w="3270" w:type="dxa"/>
            <w:vAlign w:val="center"/>
          </w:tcPr>
          <w:p>
            <w:pPr>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其他规定</w:t>
            </w:r>
          </w:p>
        </w:tc>
        <w:tc>
          <w:tcPr>
            <w:tcW w:w="4266" w:type="dxa"/>
            <w:vAlign w:val="center"/>
          </w:tcPr>
          <w:p>
            <w:pPr>
              <w:pStyle w:val="26"/>
              <w:spacing w:line="360" w:lineRule="auto"/>
              <w:jc w:val="left"/>
              <w:rPr>
                <w:rFonts w:hint="eastAsia" w:hAnsi="宋体" w:cs="宋体"/>
                <w:spacing w:val="-6"/>
              </w:rPr>
            </w:pPr>
            <w:r>
              <w:rPr>
                <w:rFonts w:hint="eastAsia" w:hAnsi="宋体" w:cs="宋体"/>
                <w:spacing w:val="-6"/>
                <w:lang w:val="en-US" w:eastAsia="zh-CN"/>
              </w:rPr>
              <w:t>1、</w:t>
            </w:r>
            <w:r>
              <w:rPr>
                <w:rFonts w:hint="eastAsia" w:hAnsi="宋体" w:cs="宋体"/>
                <w:spacing w:val="-6"/>
              </w:rPr>
              <w:t>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6"/>
              <w:spacing w:line="360" w:lineRule="auto"/>
              <w:jc w:val="left"/>
              <w:rPr>
                <w:rFonts w:hint="eastAsia" w:hAnsi="宋体" w:cs="宋体"/>
              </w:rPr>
            </w:pPr>
            <w:r>
              <w:rPr>
                <w:rFonts w:hint="eastAsia" w:hAnsi="宋体" w:cs="宋体"/>
              </w:rPr>
              <w:t>（1）信用信息查询的查询渠道：“信用中国”网站（www.creditchina.gov.cn）、中国政府采购网（www.ccgp.gov.cn）。</w:t>
            </w:r>
          </w:p>
          <w:p>
            <w:pPr>
              <w:pStyle w:val="26"/>
              <w:spacing w:line="360" w:lineRule="auto"/>
              <w:jc w:val="left"/>
              <w:rPr>
                <w:rFonts w:hint="eastAsia" w:hAnsi="宋体" w:cs="宋体"/>
              </w:rPr>
            </w:pPr>
            <w:r>
              <w:rPr>
                <w:rFonts w:hint="eastAsia" w:hAnsi="宋体" w:cs="宋体"/>
              </w:rPr>
              <w:t>（2）信用信息查询的截止时点：至本项目提交首次响应文件截止时间止。</w:t>
            </w:r>
          </w:p>
          <w:p>
            <w:pPr>
              <w:pStyle w:val="26"/>
              <w:spacing w:line="360" w:lineRule="auto"/>
              <w:jc w:val="left"/>
              <w:rPr>
                <w:rFonts w:hint="eastAsia" w:hAnsi="宋体" w:cs="宋体"/>
              </w:rPr>
            </w:pPr>
            <w:r>
              <w:rPr>
                <w:rFonts w:hint="eastAsia" w:hAnsi="宋体" w:cs="宋体"/>
              </w:rPr>
              <w:t>（3）信用信息查询记录的具体方式：采购人或采购代理机构在开启首次响应文件时在规定的查询渠道进行查询。</w:t>
            </w:r>
          </w:p>
          <w:p>
            <w:pPr>
              <w:pStyle w:val="2"/>
              <w:spacing w:line="360" w:lineRule="auto"/>
              <w:ind w:left="0" w:leftChars="0" w:firstLine="0" w:firstLineChars="0"/>
              <w:rPr>
                <w:rFonts w:hint="eastAsia" w:ascii="宋体" w:hAnsi="宋体" w:cs="宋体"/>
              </w:rPr>
            </w:pPr>
            <w:r>
              <w:rPr>
                <w:rFonts w:hint="eastAsia" w:ascii="宋体" w:hAnsi="宋体" w:cs="宋体"/>
              </w:rPr>
              <w:t>（4）信用信息查询记录证据留存的具体方式：查询记录的网上打印件。</w:t>
            </w:r>
          </w:p>
          <w:p>
            <w:pPr>
              <w:pStyle w:val="2"/>
              <w:spacing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、如果非代理公司原因和责任造成废标，则第一次开标费用全部计入成本，由投标人计入报价中。</w:t>
            </w:r>
          </w:p>
          <w:p>
            <w:pPr>
              <w:pStyle w:val="2"/>
              <w:spacing w:line="360" w:lineRule="auto"/>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质疑处理：本项目如果引起质疑，则由过错方承担处理质疑所产生的费用，如果是投标人某方为过错方，则由该投标人承担相关费用。不在法定质疑期内提出的质疑函可以拒收。不符合要求的质疑函在法定质疑期内及时补充完整，否则作质疑不成立处理</w:t>
            </w:r>
            <w:r>
              <w:rPr>
                <w:rFonts w:hint="eastAsia" w:asciiTheme="minorEastAsia" w:hAnsiTheme="minorEastAsia" w:eastAsiaTheme="minorEastAsia" w:cstheme="minorEastAsia"/>
                <w:sz w:val="21"/>
                <w:szCs w:val="21"/>
                <w:lang w:eastAsia="zh-CN"/>
              </w:rPr>
              <w:t>。</w:t>
            </w:r>
          </w:p>
        </w:tc>
      </w:tr>
    </w:tbl>
    <w:p>
      <w:pPr>
        <w:adjustRightInd w:val="0"/>
        <w:snapToGrid w:val="0"/>
        <w:spacing w:line="360" w:lineRule="auto"/>
        <w:rPr>
          <w:rFonts w:ascii="宋体" w:hAnsi="宋体"/>
          <w:b/>
          <w:szCs w:val="21"/>
        </w:rPr>
      </w:pPr>
      <w:r>
        <w:rPr>
          <w:rFonts w:ascii="宋体" w:hAnsi="宋体"/>
          <w:b/>
          <w:szCs w:val="21"/>
        </w:rPr>
        <w:br w:type="page"/>
      </w:r>
    </w:p>
    <w:p>
      <w:pPr>
        <w:pStyle w:val="8"/>
        <w:adjustRightInd w:val="0"/>
        <w:snapToGrid w:val="0"/>
        <w:spacing w:beforeLines="50"/>
        <w:jc w:val="center"/>
        <w:rPr>
          <w:rFonts w:ascii="黑体" w:hAnsi="黑体" w:eastAsia="黑体"/>
          <w:sz w:val="28"/>
          <w:szCs w:val="28"/>
        </w:rPr>
      </w:pPr>
      <w:bookmarkStart w:id="15" w:name="_Toc35446156"/>
      <w:bookmarkStart w:id="16" w:name="_Toc30870"/>
      <w:bookmarkStart w:id="17" w:name="_Toc2184"/>
      <w:bookmarkStart w:id="18" w:name="_Toc21656"/>
      <w:bookmarkStart w:id="19" w:name="_Toc7427"/>
      <w:bookmarkStart w:id="20" w:name="_Toc14086"/>
      <w:r>
        <w:rPr>
          <w:rFonts w:hint="eastAsia" w:ascii="黑体" w:hAnsi="黑体" w:eastAsia="黑体"/>
          <w:sz w:val="28"/>
          <w:szCs w:val="28"/>
        </w:rPr>
        <w:t>投标须知正文</w:t>
      </w:r>
      <w:bookmarkEnd w:id="15"/>
      <w:bookmarkEnd w:id="16"/>
      <w:bookmarkEnd w:id="17"/>
      <w:bookmarkEnd w:id="18"/>
      <w:bookmarkEnd w:id="19"/>
      <w:bookmarkEnd w:id="20"/>
    </w:p>
    <w:p>
      <w:pPr>
        <w:pStyle w:val="9"/>
        <w:adjustRightInd w:val="0"/>
        <w:snapToGrid w:val="0"/>
        <w:spacing w:beforeLines="50" w:after="0" w:line="360" w:lineRule="auto"/>
        <w:jc w:val="center"/>
        <w:rPr>
          <w:rFonts w:ascii="黑体" w:hAnsi="黑体" w:eastAsia="黑体"/>
          <w:b w:val="0"/>
          <w:sz w:val="28"/>
          <w:szCs w:val="28"/>
        </w:rPr>
      </w:pPr>
      <w:bookmarkStart w:id="21" w:name="_Toc8868"/>
      <w:bookmarkStart w:id="22" w:name="_Toc948"/>
      <w:bookmarkStart w:id="23" w:name="_Toc9754"/>
      <w:bookmarkStart w:id="24" w:name="_Toc35446157"/>
      <w:bookmarkStart w:id="25" w:name="_Toc16223"/>
      <w:bookmarkStart w:id="26" w:name="_Toc13662"/>
      <w:r>
        <w:rPr>
          <w:rFonts w:hint="eastAsia" w:ascii="黑体" w:hAnsi="黑体" w:eastAsia="黑体"/>
          <w:sz w:val="28"/>
          <w:szCs w:val="28"/>
        </w:rPr>
        <w:t>一、总则</w:t>
      </w:r>
      <w:bookmarkEnd w:id="21"/>
      <w:bookmarkEnd w:id="22"/>
      <w:bookmarkEnd w:id="23"/>
      <w:bookmarkEnd w:id="24"/>
      <w:bookmarkEnd w:id="25"/>
      <w:bookmarkEnd w:id="26"/>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 适用范围</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1.1本招标文件仅适用于本章“投标须知前附表”（以下简称</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）中所叙述的采购项目。</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 定义</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2.1采购人名称、地址、电话、联系人见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2.2采购代理机构名称、地址、电话、联系人见</w:t>
      </w:r>
      <w:r>
        <w:rPr>
          <w:rFonts w:hint="eastAsia" w:asciiTheme="minorEastAsia" w:hAnsiTheme="minorEastAsia" w:eastAsiaTheme="minorEastAsia"/>
          <w:b/>
          <w:szCs w:val="21"/>
        </w:rPr>
        <w:t>【投标须知前附表】。</w:t>
      </w:r>
    </w:p>
    <w:p>
      <w:pPr>
        <w:adjustRightInd w:val="0"/>
        <w:snapToGrid w:val="0"/>
        <w:spacing w:beforeLines="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2.3投标人系指响应招标、参加投标的法人、其他组织或自然人。</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2.4货物是指各种形态和种类的物品，包括原材料、燃料、设备、产品等，见《政府采购品目分类目录》（财库[2013]189号）。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2.5服务是根据合同规定乙方承担与供货有关的辅助服务，如运输、保</w:t>
      </w:r>
      <w:r>
        <w:rPr>
          <w:rFonts w:hint="eastAsia" w:asciiTheme="minorEastAsia" w:hAnsiTheme="minorEastAsia" w:eastAsiaTheme="minorEastAsia"/>
          <w:spacing w:val="2"/>
          <w:szCs w:val="21"/>
        </w:rPr>
        <w:t>险以及其它的伴随服务，例如安装、调试、提供技术</w:t>
      </w:r>
      <w:r>
        <w:rPr>
          <w:rFonts w:hint="eastAsia" w:asciiTheme="minorEastAsia" w:hAnsiTheme="minorEastAsia" w:eastAsiaTheme="minorEastAsia"/>
          <w:szCs w:val="21"/>
        </w:rPr>
        <w:t>协</w:t>
      </w:r>
      <w:r>
        <w:rPr>
          <w:rFonts w:hint="eastAsia" w:asciiTheme="minorEastAsia" w:hAnsiTheme="minorEastAsia" w:eastAsiaTheme="minorEastAsia"/>
          <w:spacing w:val="2"/>
          <w:szCs w:val="21"/>
        </w:rPr>
        <w:t>助、培训和合同中规定</w:t>
      </w:r>
      <w:r>
        <w:rPr>
          <w:rFonts w:hint="eastAsia" w:asciiTheme="minorEastAsia" w:hAnsiTheme="minorEastAsia" w:eastAsiaTheme="minorEastAsia"/>
          <w:szCs w:val="21"/>
        </w:rPr>
        <w:t>乙方应承担的其它义务</w:t>
      </w:r>
    </w:p>
    <w:p>
      <w:pPr>
        <w:adjustRightInd w:val="0"/>
        <w:snapToGrid w:val="0"/>
        <w:spacing w:beforeLines="50" w:line="360" w:lineRule="auto"/>
        <w:ind w:firstLine="420" w:firstLineChars="200"/>
        <w:jc w:val="left"/>
        <w:rPr>
          <w:rFonts w:cs="宋体" w:asciiTheme="minorEastAsia" w:hAnsiTheme="minorEastAsia" w:eastAsiaTheme="minorEastAsia"/>
          <w:kern w:val="0"/>
          <w:szCs w:val="21"/>
        </w:rPr>
      </w:pPr>
      <w:r>
        <w:rPr>
          <w:rFonts w:asciiTheme="minorEastAsia" w:hAnsiTheme="minorEastAsia" w:eastAsiaTheme="minorEastAsia"/>
          <w:szCs w:val="21"/>
        </w:rPr>
        <w:t>2.</w:t>
      </w:r>
      <w:r>
        <w:rPr>
          <w:rFonts w:hint="eastAsia" w:asciiTheme="minorEastAsia" w:hAnsiTheme="minorEastAsia" w:eastAsiaTheme="minorEastAsia"/>
          <w:szCs w:val="21"/>
        </w:rPr>
        <w:t>6</w:t>
      </w:r>
      <w:r>
        <w:rPr>
          <w:rFonts w:hint="eastAsia" w:cs="宋体" w:asciiTheme="minorEastAsia" w:hAnsiTheme="minorEastAsia" w:eastAsiaTheme="minorEastAsia"/>
          <w:kern w:val="0"/>
          <w:szCs w:val="21"/>
        </w:rPr>
        <w:t>进口产品是指符合《政府采购进口产品管理办法》（财库〔2007〕119号）和《关于政府采购进口产品管理有关问题的通知》（财办库〔2008〕248号）文件规定的产品。除</w:t>
      </w:r>
      <w:r>
        <w:rPr>
          <w:rFonts w:hint="eastAsia" w:asciiTheme="minorEastAsia" w:hAnsiTheme="minorEastAsia" w:eastAsiaTheme="minorEastAsia"/>
          <w:b/>
          <w:szCs w:val="21"/>
        </w:rPr>
        <w:t>【投标须知前附表】</w:t>
      </w:r>
      <w:r>
        <w:rPr>
          <w:rFonts w:hint="eastAsia" w:cs="宋体" w:asciiTheme="minorEastAsia" w:hAnsiTheme="minorEastAsia" w:eastAsiaTheme="minorEastAsia"/>
          <w:kern w:val="0"/>
          <w:szCs w:val="21"/>
        </w:rPr>
        <w:t>另有规定外，采购项目拒绝进口产品参加投标。本款规定同意购买进口产品的，不得限制满足招标文件要求的国内产品参与投标竞争。</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 投标人的资格要求</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3.1投标人应当符合“投标邀请”规定的投标人资格条件。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规定接受联合体形式投标的，投标人除应符合本章第3.1</w:t>
      </w:r>
      <w:r>
        <w:rPr>
          <w:rFonts w:hint="eastAsia" w:cs="宋体" w:asciiTheme="minorEastAsia" w:hAnsiTheme="minorEastAsia" w:eastAsiaTheme="minorEastAsia"/>
          <w:kern w:val="0"/>
          <w:szCs w:val="21"/>
          <w:lang w:val="zh-CN"/>
        </w:rPr>
        <w:t>款</w:t>
      </w:r>
      <w:r>
        <w:rPr>
          <w:rFonts w:hint="eastAsia" w:asciiTheme="minorEastAsia" w:hAnsiTheme="minorEastAsia" w:eastAsiaTheme="minorEastAsia"/>
          <w:szCs w:val="21"/>
        </w:rPr>
        <w:t xml:space="preserve">规定外，还应遵守以下规定： </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（l）联合体中有同类资质的供应商按照联合体分工承担相同工作的，应当按照资质等级较低的供应商确定资质等级。</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（2）联合体各方应按招标文件提供的格式签订联合体协议书，明确联合体牵头人和各方的权利义务、合同工作量比例；</w:t>
      </w:r>
    </w:p>
    <w:p>
      <w:pPr>
        <w:adjustRightInd w:val="0"/>
        <w:snapToGrid w:val="0"/>
        <w:spacing w:beforeLines="50" w:line="360" w:lineRule="auto"/>
        <w:ind w:firstLine="420" w:firstLineChars="200"/>
        <w:jc w:val="left"/>
        <w:rPr>
          <w:rFonts w:cs="宋体" w:asciiTheme="minorEastAsia" w:hAnsiTheme="minorEastAsia" w:eastAsiaTheme="minorEastAsia"/>
          <w:kern w:val="0"/>
          <w:szCs w:val="21"/>
          <w:lang w:val="zh-CN"/>
        </w:rPr>
      </w:pPr>
      <w:r>
        <w:rPr>
          <w:rFonts w:hint="eastAsia" w:asciiTheme="minorEastAsia" w:hAnsiTheme="minorEastAsia" w:eastAsiaTheme="minorEastAsia"/>
          <w:szCs w:val="21"/>
        </w:rPr>
        <w:t>（3）联合体各方签订联合体协议书后，</w:t>
      </w:r>
      <w:r>
        <w:rPr>
          <w:rFonts w:hint="eastAsia" w:cs="宋体" w:asciiTheme="minorEastAsia" w:hAnsiTheme="minorEastAsia" w:eastAsiaTheme="minorEastAsia"/>
          <w:kern w:val="0"/>
          <w:szCs w:val="21"/>
          <w:lang w:val="zh-CN"/>
        </w:rPr>
        <w:t>不得再单独参加或者与其他投标人组成新的联合体参加</w:t>
      </w:r>
      <w:r>
        <w:rPr>
          <w:rFonts w:hint="eastAsia" w:cs="宋体" w:asciiTheme="minorEastAsia" w:hAnsiTheme="minorEastAsia" w:eastAsiaTheme="minorEastAsia"/>
          <w:kern w:val="0"/>
          <w:szCs w:val="21"/>
        </w:rPr>
        <w:t>本项目</w:t>
      </w:r>
      <w:r>
        <w:rPr>
          <w:rFonts w:hint="eastAsia" w:cs="宋体" w:asciiTheme="minorEastAsia" w:hAnsiTheme="minorEastAsia" w:eastAsiaTheme="minorEastAsia"/>
          <w:kern w:val="0"/>
          <w:szCs w:val="21"/>
          <w:lang w:val="zh-CN"/>
        </w:rPr>
        <w:t>同一合同项下的采购活动。</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 xml:space="preserve">4. 投标费用 </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4.1投标人应自行承担所有参与投标的相关费用，不论投标的结果如何，采购人或者采购代理机构均无义务和责任承担这些费用。</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5. </w:t>
      </w:r>
      <w:r>
        <w:rPr>
          <w:rFonts w:hint="eastAsia" w:asciiTheme="minorEastAsia" w:hAnsiTheme="minorEastAsia" w:eastAsiaTheme="minorEastAsia"/>
          <w:b/>
          <w:sz w:val="24"/>
        </w:rPr>
        <w:t>保密</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5.1参与招标投标活动的各方应对招标文件和投标文件中的商业和技术等秘密保密，违者应对由此造成的后果承担法律责任。</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6．组织现场考察或者召开答疑会</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6.1采购人或者采购代理机构可以在</w:t>
      </w:r>
      <w:r>
        <w:rPr>
          <w:rFonts w:hint="eastAsia" w:asciiTheme="minorEastAsia" w:hAnsiTheme="minorEastAsia" w:eastAsiaTheme="minorEastAsia"/>
          <w:szCs w:val="21"/>
        </w:rPr>
        <w:t>招标文件提供期限截止后，组织已获取招标文件的潜在投标人现场考察或者召开开标前答疑会。</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6.2获取招标文件的潜在投标人应按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规定参加现场考察或者答疑会；如不参加，其风险由其自行承担。</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6.3潜在投标人现场考察或者参加答疑会的费用由自己承担，现场考察期间所发生的人身伤害及财产损失由自己负责。</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6.4采购人或者采购代理机构不对投标人据此而做出的推论、理解和结论负责。投标人一旦中标，不得以任何借口，提出额外补偿，或延长合同期限的要求。</w:t>
      </w:r>
    </w:p>
    <w:p>
      <w:pPr>
        <w:pStyle w:val="9"/>
        <w:adjustRightInd w:val="0"/>
        <w:snapToGrid w:val="0"/>
        <w:spacing w:beforeLines="50" w:after="0" w:line="360" w:lineRule="auto"/>
        <w:jc w:val="center"/>
        <w:rPr>
          <w:rFonts w:ascii="黑体" w:hAnsi="黑体" w:eastAsia="黑体"/>
          <w:sz w:val="28"/>
          <w:szCs w:val="28"/>
        </w:rPr>
      </w:pPr>
      <w:bookmarkStart w:id="27" w:name="_Toc35446158"/>
      <w:bookmarkStart w:id="28" w:name="_Toc16020"/>
      <w:bookmarkStart w:id="29" w:name="_Toc10586"/>
      <w:bookmarkStart w:id="30" w:name="_Toc7125"/>
      <w:bookmarkStart w:id="31" w:name="_Toc3650"/>
      <w:bookmarkStart w:id="32" w:name="_Toc3809"/>
      <w:r>
        <w:rPr>
          <w:rFonts w:hint="eastAsia" w:ascii="黑体" w:hAnsi="黑体" w:eastAsia="黑体"/>
          <w:sz w:val="28"/>
          <w:szCs w:val="28"/>
        </w:rPr>
        <w:t>二、招标文件</w:t>
      </w:r>
      <w:bookmarkEnd w:id="27"/>
      <w:bookmarkEnd w:id="28"/>
      <w:bookmarkEnd w:id="29"/>
      <w:bookmarkEnd w:id="30"/>
      <w:bookmarkEnd w:id="31"/>
      <w:bookmarkEnd w:id="32"/>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7. 招标文件的构成</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 招标文件共七章，各章内容如下：</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第一章 投标邀请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第二章 投标须知</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第三章 资格审查</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第四章 评标方法及标准</w:t>
      </w:r>
    </w:p>
    <w:p>
      <w:pPr>
        <w:adjustRightInd w:val="0"/>
        <w:snapToGrid w:val="0"/>
        <w:spacing w:beforeLines="50" w:line="360" w:lineRule="auto"/>
        <w:ind w:firstLine="420" w:firstLineChars="200"/>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 xml:space="preserve">第五章 </w:t>
      </w:r>
      <w:r>
        <w:rPr>
          <w:rFonts w:hint="eastAsia" w:asciiTheme="minorEastAsia" w:hAnsiTheme="minorEastAsia" w:eastAsiaTheme="minorEastAsia"/>
          <w:szCs w:val="21"/>
          <w:lang w:val="en-US" w:eastAsia="zh-CN"/>
        </w:rPr>
        <w:t>服务要求</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第六章 政府采购合同</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第七章 投标文件的组成</w:t>
      </w:r>
    </w:p>
    <w:p>
      <w:pPr>
        <w:adjustRightInd w:val="0"/>
        <w:snapToGrid w:val="0"/>
        <w:spacing w:beforeLines="50" w:line="360" w:lineRule="auto"/>
        <w:ind w:firstLine="420" w:firstLineChars="200"/>
        <w:jc w:val="left"/>
        <w:rPr>
          <w:rFonts w:cs="宋体" w:asciiTheme="minorEastAsia" w:hAnsiTheme="minorEastAsia" w:eastAsiaTheme="minorEastAsia"/>
          <w:b/>
          <w:szCs w:val="21"/>
        </w:rPr>
      </w:pPr>
      <w:r>
        <w:rPr>
          <w:rFonts w:hint="eastAsia" w:asciiTheme="minorEastAsia" w:hAnsiTheme="minorEastAsia" w:eastAsiaTheme="minorEastAsia"/>
          <w:szCs w:val="21"/>
        </w:rPr>
        <w:t>7.2采购人或者采购代理机构在</w:t>
      </w:r>
      <w:r>
        <w:rPr>
          <w:rFonts w:hint="eastAsia" w:asciiTheme="minorEastAsia" w:hAnsiTheme="minorEastAsia" w:eastAsiaTheme="minorEastAsia"/>
          <w:b/>
          <w:szCs w:val="21"/>
        </w:rPr>
        <w:t>【投标须知前附表】</w:t>
      </w:r>
      <w:r>
        <w:rPr>
          <w:rFonts w:hint="eastAsia" w:asciiTheme="minorEastAsia" w:hAnsiTheme="minorEastAsia" w:eastAsiaTheme="minorEastAsia"/>
          <w:bCs/>
          <w:szCs w:val="21"/>
        </w:rPr>
        <w:t>规定的</w:t>
      </w:r>
      <w:r>
        <w:rPr>
          <w:rFonts w:hint="eastAsia" w:asciiTheme="minorEastAsia" w:hAnsiTheme="minorEastAsia" w:eastAsiaTheme="minorEastAsia"/>
          <w:szCs w:val="21"/>
        </w:rPr>
        <w:t>提交投标文件截止时间前</w:t>
      </w:r>
      <w:r>
        <w:rPr>
          <w:rFonts w:hint="eastAsia" w:cs="宋体" w:asciiTheme="minorEastAsia" w:hAnsiTheme="minorEastAsia" w:eastAsiaTheme="minorEastAsia"/>
          <w:szCs w:val="21"/>
        </w:rPr>
        <w:t>对招标文件所作的澄清或者修改，构成招标文件的组成部分。</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8．偏离与实质性响应</w:t>
      </w:r>
    </w:p>
    <w:p>
      <w:pPr>
        <w:adjustRightInd w:val="0"/>
        <w:snapToGrid w:val="0"/>
        <w:spacing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8.1投标人应当按照招标文件的要求编制投标文件。投标文件应当对招标文件提出的要求和条件作出明确响应。</w:t>
      </w:r>
    </w:p>
    <w:p>
      <w:pPr>
        <w:adjustRightInd w:val="0"/>
        <w:snapToGrid w:val="0"/>
        <w:spacing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8.2偏离是指投标文件不响应或者不满足招标文件提出的要求和条件，分为实质性偏离和非实质性偏离。</w:t>
      </w:r>
    </w:p>
    <w:p>
      <w:pPr>
        <w:adjustRightInd w:val="0"/>
        <w:snapToGrid w:val="0"/>
        <w:spacing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8.3招标文件中用“★”符号标明的条款为实质性要求和条件，对其中任何一条的偏离，为实质性偏离，其投标无效。</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8.4投标</w:t>
      </w:r>
      <w:r>
        <w:rPr>
          <w:rFonts w:hint="eastAsia" w:asciiTheme="minorEastAsia" w:hAnsiTheme="minorEastAsia" w:eastAsiaTheme="minorEastAsia"/>
          <w:szCs w:val="21"/>
        </w:rPr>
        <w:t>文件偏离招标文件的非实质性要求和条件，为非实质性偏离。非实质性偏离的范围和幅度超出</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规定的，其</w:t>
      </w:r>
      <w:r>
        <w:rPr>
          <w:rFonts w:hint="eastAsia" w:asciiTheme="minorEastAsia" w:hAnsiTheme="minorEastAsia" w:eastAsiaTheme="minorEastAsia"/>
        </w:rPr>
        <w:t>投标无效。</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9. 询问</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9.1潜在投标人应仔细阅读和检查招标文件的全部内容。如有疑问，可以向采购人或者采购代理机构提出询问。</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10. 招标文件的澄清或者修改</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10.1采购人或者采购代理机构对已发出的招标文件进行必要澄清或者修改的，将在</w:t>
      </w:r>
      <w:r>
        <w:rPr>
          <w:rFonts w:hint="eastAsia" w:asciiTheme="minorEastAsia" w:hAnsiTheme="minorEastAsia" w:eastAsiaTheme="minorEastAsia"/>
          <w:b/>
          <w:szCs w:val="21"/>
        </w:rPr>
        <w:t>【投标须知前附表】</w:t>
      </w:r>
      <w:r>
        <w:rPr>
          <w:rFonts w:hint="eastAsia" w:asciiTheme="minorEastAsia" w:hAnsiTheme="minorEastAsia" w:eastAsiaTheme="minorEastAsia"/>
        </w:rPr>
        <w:t>指定的媒体上发布澄清或者更正公告。</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cs="宋体" w:asciiTheme="minorEastAsia" w:hAnsiTheme="minorEastAsia" w:eastAsiaTheme="minorEastAsia"/>
          <w:kern w:val="0"/>
          <w:szCs w:val="21"/>
        </w:rPr>
        <w:t>10.2澄清或者修改</w:t>
      </w:r>
      <w:r>
        <w:rPr>
          <w:rFonts w:hint="eastAsia" w:asciiTheme="minorEastAsia" w:hAnsiTheme="minorEastAsia" w:eastAsiaTheme="minorEastAsia"/>
        </w:rPr>
        <w:t>的</w:t>
      </w:r>
      <w:r>
        <w:rPr>
          <w:rFonts w:hint="eastAsia" w:cs="宋体" w:asciiTheme="minorEastAsia" w:hAnsiTheme="minorEastAsia" w:eastAsiaTheme="minorEastAsia"/>
          <w:kern w:val="0"/>
          <w:szCs w:val="21"/>
        </w:rPr>
        <w:t>内容可能影响投标文件编制的，采购人或者采购代理机构</w:t>
      </w:r>
      <w:r>
        <w:rPr>
          <w:rFonts w:hint="eastAsia" w:asciiTheme="minorEastAsia" w:hAnsiTheme="minorEastAsia" w:eastAsiaTheme="minorEastAsia"/>
        </w:rPr>
        <w:t>将</w:t>
      </w:r>
      <w:r>
        <w:rPr>
          <w:rFonts w:hint="eastAsia" w:cs="宋体" w:asciiTheme="minorEastAsia" w:hAnsiTheme="minorEastAsia" w:eastAsiaTheme="minorEastAsia"/>
          <w:kern w:val="0"/>
          <w:szCs w:val="21"/>
        </w:rPr>
        <w:t>在提交投标文件截止时间15日前，</w:t>
      </w:r>
      <w:r>
        <w:rPr>
          <w:rFonts w:hint="eastAsia" w:asciiTheme="minorEastAsia" w:hAnsiTheme="minorEastAsia" w:eastAsiaTheme="minorEastAsia"/>
        </w:rPr>
        <w:t>以书面形式通知所有获取招标文件的潜在投标人；不足15日的，将相应延长提交投标文件的截止时间。</w:t>
      </w:r>
    </w:p>
    <w:p>
      <w:pPr>
        <w:adjustRightInd w:val="0"/>
        <w:snapToGrid w:val="0"/>
        <w:spacing w:beforeLines="50" w:line="360" w:lineRule="auto"/>
        <w:ind w:firstLine="420" w:firstLineChars="200"/>
        <w:jc w:val="left"/>
        <w:rPr>
          <w:rFonts w:asciiTheme="minorEastAsia" w:hAnsiTheme="minorEastAsia" w:eastAsiaTheme="minorEastAsia"/>
        </w:rPr>
      </w:pPr>
      <w:r>
        <w:rPr>
          <w:rFonts w:asciiTheme="minorEastAsia" w:hAnsiTheme="minorEastAsia" w:eastAsiaTheme="minorEastAsia"/>
        </w:rPr>
        <w:t>10.3</w:t>
      </w:r>
      <w:r>
        <w:rPr>
          <w:rFonts w:hint="eastAsia" w:asciiTheme="minorEastAsia" w:hAnsiTheme="minorEastAsia" w:eastAsiaTheme="minorEastAsia"/>
        </w:rPr>
        <w:t>招标文件的提供期限届满后，获取招标文件的潜在投标人不足3家的，可以顺延提供期限，并在</w:t>
      </w:r>
      <w:r>
        <w:rPr>
          <w:rFonts w:hint="eastAsia" w:asciiTheme="minorEastAsia" w:hAnsiTheme="minorEastAsia" w:eastAsiaTheme="minorEastAsia"/>
          <w:bCs/>
          <w:szCs w:val="21"/>
        </w:rPr>
        <w:t>本章第10.1款</w:t>
      </w:r>
      <w:r>
        <w:rPr>
          <w:rFonts w:hint="eastAsia" w:asciiTheme="minorEastAsia" w:hAnsiTheme="minorEastAsia" w:eastAsiaTheme="minorEastAsia"/>
          <w:bCs/>
        </w:rPr>
        <w:t>规</w:t>
      </w:r>
      <w:r>
        <w:rPr>
          <w:rFonts w:hint="eastAsia" w:asciiTheme="minorEastAsia" w:hAnsiTheme="minorEastAsia" w:eastAsiaTheme="minorEastAsia"/>
        </w:rPr>
        <w:t>定的媒体上发布更正公告。</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10.4 通过电子招标投标交易平台下载招标文件的，应及时关注</w:t>
      </w:r>
      <w:r>
        <w:rPr>
          <w:rFonts w:hint="eastAsia" w:asciiTheme="minorEastAsia" w:hAnsiTheme="minorEastAsia" w:eastAsiaTheme="minorEastAsia"/>
          <w:bCs/>
          <w:szCs w:val="21"/>
        </w:rPr>
        <w:t>本章第10.1款</w:t>
      </w:r>
      <w:r>
        <w:rPr>
          <w:rFonts w:hint="eastAsia" w:asciiTheme="minorEastAsia" w:hAnsiTheme="minorEastAsia" w:eastAsiaTheme="minorEastAsia"/>
          <w:bCs/>
        </w:rPr>
        <w:t>规</w:t>
      </w:r>
      <w:r>
        <w:rPr>
          <w:rFonts w:hint="eastAsia" w:asciiTheme="minorEastAsia" w:hAnsiTheme="minorEastAsia" w:eastAsiaTheme="minorEastAsia"/>
        </w:rPr>
        <w:t>定的媒体发布的澄清或者修改公告，采购代理机构不再书面通知。</w:t>
      </w:r>
    </w:p>
    <w:p>
      <w:pPr>
        <w:pStyle w:val="9"/>
        <w:adjustRightInd w:val="0"/>
        <w:snapToGrid w:val="0"/>
        <w:spacing w:beforeLines="50" w:after="0" w:line="360" w:lineRule="auto"/>
        <w:jc w:val="center"/>
        <w:rPr>
          <w:rFonts w:hint="eastAsia" w:ascii="黑体" w:hAnsi="黑体" w:eastAsia="黑体"/>
          <w:sz w:val="28"/>
          <w:szCs w:val="28"/>
        </w:rPr>
      </w:pPr>
      <w:bookmarkStart w:id="33" w:name="_Toc35446159"/>
      <w:bookmarkStart w:id="34" w:name="_Toc28483"/>
      <w:bookmarkStart w:id="35" w:name="_Toc30119"/>
      <w:bookmarkStart w:id="36" w:name="_Toc6154"/>
      <w:r>
        <w:rPr>
          <w:rFonts w:hint="eastAsia" w:ascii="黑体" w:hAnsi="黑体" w:eastAsia="黑体"/>
          <w:sz w:val="28"/>
          <w:szCs w:val="28"/>
        </w:rPr>
        <w:t>三、投标文件</w:t>
      </w:r>
      <w:bookmarkEnd w:id="33"/>
      <w:bookmarkEnd w:id="34"/>
      <w:bookmarkEnd w:id="35"/>
      <w:bookmarkEnd w:id="36"/>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11. 投标语言</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11.1除专用术语外，投标人提交的投标文件及投标人与采购代理机构就有关投标的所有来往函电均使用中文。投标人可以提交其它语言的资料，但应附有中文注释，有差异时以中文为准。</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12. </w:t>
      </w:r>
      <w:r>
        <w:rPr>
          <w:rFonts w:hint="eastAsia" w:asciiTheme="minorEastAsia" w:hAnsiTheme="minorEastAsia" w:eastAsiaTheme="minorEastAsia"/>
          <w:b/>
          <w:sz w:val="24"/>
        </w:rPr>
        <w:t>计量单位</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12.1所有计量均采用中华人民共和国法定计量单位。</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 xml:space="preserve">13. </w:t>
      </w:r>
      <w:r>
        <w:rPr>
          <w:rFonts w:hint="eastAsia" w:asciiTheme="minorEastAsia" w:hAnsiTheme="minorEastAsia" w:eastAsiaTheme="minorEastAsia"/>
          <w:b/>
          <w:bCs/>
          <w:sz w:val="24"/>
        </w:rPr>
        <w:t>投标文件的组成</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13.1投标文件由第一部分资格证明文件和第二部分商务和技术文件组成。投标文件内容如下：</w:t>
      </w:r>
    </w:p>
    <w:p>
      <w:pPr>
        <w:adjustRightInd w:val="0"/>
        <w:snapToGrid w:val="0"/>
        <w:spacing w:beforeLines="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第一部分 资格证明文件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（1）开标一览表</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（2）投标保</w:t>
      </w:r>
      <w:r>
        <w:rPr>
          <w:rFonts w:hint="eastAsia" w:asciiTheme="minorEastAsia" w:hAnsiTheme="minorEastAsia" w:eastAsiaTheme="minorEastAsia"/>
          <w:bCs/>
          <w:szCs w:val="21"/>
        </w:rPr>
        <w:t>证金</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（3）法定代表人授权委托书</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（4）投标人提供的资格证明文件</w:t>
      </w:r>
    </w:p>
    <w:p>
      <w:pPr>
        <w:adjustRightInd w:val="0"/>
        <w:snapToGrid w:val="0"/>
        <w:spacing w:beforeLines="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第二部分 商务和技术文件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（5）投标函</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（6）分项报价明细表</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（7）采购需求响应</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（8）商务、合同条款偏离表</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（9）采购需求偏离表</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（10）享受政府采购政策优惠的证明资料</w:t>
      </w:r>
    </w:p>
    <w:p>
      <w:pPr>
        <w:adjustRightInd w:val="0"/>
        <w:snapToGrid w:val="0"/>
        <w:spacing w:beforeLines="50" w:line="360" w:lineRule="auto"/>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（11）</w:t>
      </w:r>
      <w:r>
        <w:rPr>
          <w:rFonts w:hint="eastAsia" w:asciiTheme="minorEastAsia" w:hAnsiTheme="minorEastAsia" w:eastAsiaTheme="minorEastAsia"/>
          <w:szCs w:val="21"/>
          <w:lang w:eastAsia="zh-CN"/>
        </w:rPr>
        <w:t>投标服务符合招标文件规定的证明文件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（12）投标人认为需提供的其他资料</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13.2</w:t>
      </w:r>
      <w:r>
        <w:rPr>
          <w:rFonts w:hint="eastAsia" w:asciiTheme="minorEastAsia" w:hAnsiTheme="minorEastAsia" w:eastAsiaTheme="minorEastAsia"/>
          <w:b/>
          <w:szCs w:val="21"/>
        </w:rPr>
        <w:t>投标文件第一部分资格证明文件应单独装订成册，不得混装在第二部分商务和技术文件中。否则，投标人应承担装订失误所产生任何后果（如“资格证明文件”资料装订在“商务和技术文件”中，将导致资格审查不合格）。</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13.3投标人可以编制资格审查索引表、符合性审查索引表、评审索引表，以方便采购人及采购代理机构、评标委员会在资格审查及评审时查阅。资格审查索引表应置于</w:t>
      </w:r>
      <w:r>
        <w:rPr>
          <w:rFonts w:hint="eastAsia" w:asciiTheme="minorEastAsia" w:hAnsiTheme="minorEastAsia" w:eastAsiaTheme="minorEastAsia"/>
        </w:rPr>
        <w:t>“</w:t>
      </w:r>
      <w:r>
        <w:rPr>
          <w:rFonts w:hint="eastAsia" w:asciiTheme="minorEastAsia" w:hAnsiTheme="minorEastAsia" w:eastAsiaTheme="minorEastAsia"/>
          <w:szCs w:val="21"/>
        </w:rPr>
        <w:t>资格证明文件</w:t>
      </w:r>
      <w:r>
        <w:rPr>
          <w:rFonts w:hint="eastAsia" w:asciiTheme="minorEastAsia" w:hAnsiTheme="minorEastAsia" w:eastAsiaTheme="minorEastAsia"/>
        </w:rPr>
        <w:t>”</w:t>
      </w:r>
      <w:r>
        <w:rPr>
          <w:rFonts w:hint="eastAsia" w:asciiTheme="minorEastAsia" w:hAnsiTheme="minorEastAsia" w:eastAsiaTheme="minorEastAsia"/>
          <w:szCs w:val="21"/>
        </w:rPr>
        <w:t>的第一页，符合性审查索引表、评审索引表应置于</w:t>
      </w:r>
      <w:r>
        <w:rPr>
          <w:rFonts w:hint="eastAsia" w:asciiTheme="minorEastAsia" w:hAnsiTheme="minorEastAsia" w:eastAsiaTheme="minorEastAsia"/>
        </w:rPr>
        <w:t>“</w:t>
      </w:r>
      <w:r>
        <w:rPr>
          <w:rFonts w:hint="eastAsia" w:asciiTheme="minorEastAsia" w:hAnsiTheme="minorEastAsia" w:eastAsiaTheme="minorEastAsia"/>
          <w:szCs w:val="21"/>
        </w:rPr>
        <w:t>商务和技术文件</w:t>
      </w:r>
      <w:r>
        <w:rPr>
          <w:rFonts w:hint="eastAsia" w:asciiTheme="minorEastAsia" w:hAnsiTheme="minorEastAsia" w:eastAsiaTheme="minorEastAsia"/>
        </w:rPr>
        <w:t>”</w:t>
      </w:r>
      <w:r>
        <w:rPr>
          <w:rFonts w:hint="eastAsia" w:asciiTheme="minorEastAsia" w:hAnsiTheme="minorEastAsia" w:eastAsiaTheme="minorEastAsia"/>
          <w:szCs w:val="21"/>
        </w:rPr>
        <w:t>的第一、二页。</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13.4根据《政府采购法》第四十二条的规定，投标人无论中标与否，其投标文件不予退还。</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14. 投标报价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14.1投标人应以招标文件规定的供货及服务要求、责任范围和合同条件为基础，按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及第五章</w:t>
      </w:r>
      <w:r>
        <w:rPr>
          <w:rFonts w:hint="eastAsia" w:asciiTheme="minorEastAsia" w:hAnsiTheme="minorEastAsia" w:eastAsiaTheme="minorEastAsia"/>
          <w:szCs w:val="21"/>
          <w:lang w:val="en-US" w:eastAsia="zh-CN"/>
        </w:rPr>
        <w:t>服务要求</w:t>
      </w:r>
      <w:r>
        <w:rPr>
          <w:rFonts w:hint="eastAsia" w:asciiTheme="minorEastAsia" w:hAnsiTheme="minorEastAsia" w:eastAsiaTheme="minorEastAsia"/>
          <w:szCs w:val="21"/>
        </w:rPr>
        <w:t>的有关规定进行报价。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2投标人的投标报价不得超过采购预算，也不得超过最高限价(招标文件设定最高限价的)，否则其投标无效。采购项目采购预算、最高限价(如果设定)见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14.3 投标人应在分项报价明细表中对每项内容给予详细分项</w:t>
      </w:r>
      <w:r>
        <w:rPr>
          <w:rFonts w:hint="eastAsia" w:asciiTheme="minorEastAsia" w:hAnsiTheme="minorEastAsia" w:eastAsiaTheme="minorEastAsia"/>
        </w:rPr>
        <w:t>报价。</w:t>
      </w:r>
    </w:p>
    <w:p>
      <w:pPr>
        <w:adjustRightInd w:val="0"/>
        <w:snapToGrid w:val="0"/>
        <w:spacing w:beforeLines="50"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rPr>
        <w:t>14.4投标人对采购项目内容只允许有一个投标报价，且不接受赠送及“零”报价，否则其投标无效。投标人提交两个以上投标报价不同的“开标一览表”，且未按本章第23.1款要求标注“修改”或未书面声明哪个有效的，其投标无效。</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14.5</w:t>
      </w:r>
      <w:r>
        <w:rPr>
          <w:rFonts w:hint="eastAsia" w:asciiTheme="minorEastAsia" w:hAnsiTheme="minorEastAsia" w:eastAsiaTheme="minorEastAsia"/>
        </w:rPr>
        <w:t>投标文件中标明的价格在合同执行过程中是固定不变的，不得以任何理由予以变更。任何包含价格调整要求和条件的投标，其投标无效。</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14.6投标人在提交投标文件的截止时间前修改“开标一览表”中的投标总价的，应同时修改投标文件中“分项报价明细表”“政府采购价格评审优惠清单报价表”以及“联合体协议书”（如果影响）</w:t>
      </w:r>
      <w:r>
        <w:rPr>
          <w:rFonts w:hint="eastAsia"/>
        </w:rPr>
        <w:t>等</w:t>
      </w:r>
      <w:r>
        <w:rPr>
          <w:rFonts w:hint="eastAsia" w:asciiTheme="minorEastAsia" w:hAnsiTheme="minorEastAsia" w:eastAsiaTheme="minorEastAsia"/>
        </w:rPr>
        <w:t>相关内容。若投标人未按此要求修改，影响投标报价评审，其风险和责任由投标人自已承担。</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 xml:space="preserve">15. </w:t>
      </w:r>
      <w:r>
        <w:rPr>
          <w:rFonts w:hint="eastAsia" w:asciiTheme="minorEastAsia" w:hAnsiTheme="minorEastAsia" w:eastAsiaTheme="minorEastAsia"/>
          <w:b/>
          <w:bCs/>
          <w:sz w:val="24"/>
        </w:rPr>
        <w:t>投标人的资格证明文件</w:t>
      </w:r>
    </w:p>
    <w:p>
      <w:pPr>
        <w:adjustRightInd w:val="0"/>
        <w:snapToGrid w:val="0"/>
        <w:spacing w:beforeLines="50" w:line="360" w:lineRule="auto"/>
        <w:ind w:firstLine="420" w:firstLineChars="200"/>
        <w:rPr>
          <w:rFonts w:asciiTheme="minorEastAsia" w:hAnsiTheme="minorEastAsia" w:eastAsiaTheme="minorEastAsia"/>
        </w:rPr>
      </w:pPr>
      <w:r>
        <w:rPr>
          <w:rFonts w:hint="eastAsia" w:asciiTheme="minorEastAsia" w:hAnsiTheme="minorEastAsia"/>
        </w:rPr>
        <w:t>15.1</w:t>
      </w:r>
      <w:r>
        <w:rPr>
          <w:rFonts w:hint="eastAsia" w:asciiTheme="minorEastAsia" w:hAnsiTheme="minorEastAsia" w:eastAsiaTheme="minorEastAsia"/>
          <w:szCs w:val="21"/>
        </w:rPr>
        <w:t>除</w:t>
      </w:r>
      <w:r>
        <w:rPr>
          <w:rFonts w:hint="eastAsia" w:asciiTheme="minorEastAsia" w:hAnsiTheme="minorEastAsia"/>
          <w:b/>
          <w:szCs w:val="21"/>
        </w:rPr>
        <w:t>【投标须知前附表】</w:t>
      </w:r>
      <w:r>
        <w:rPr>
          <w:rFonts w:hint="eastAsia" w:asciiTheme="minorEastAsia" w:hAnsiTheme="minorEastAsia" w:eastAsiaTheme="minorEastAsia"/>
          <w:szCs w:val="21"/>
        </w:rPr>
        <w:t>另有规</w:t>
      </w:r>
      <w:r>
        <w:rPr>
          <w:rFonts w:hint="eastAsia" w:asciiTheme="minorEastAsia" w:hAnsiTheme="minorEastAsia" w:eastAsiaTheme="minorEastAsia"/>
        </w:rPr>
        <w:t>定外，投标人应按下列规定提供资格证明文件，并按本章第13.2款要求装订在投标文件的第一部分资格证明文件中。</w:t>
      </w:r>
    </w:p>
    <w:p>
      <w:pPr>
        <w:adjustRightInd w:val="0"/>
        <w:snapToGrid w:val="0"/>
        <w:spacing w:beforeLines="50" w:line="360" w:lineRule="auto"/>
        <w:ind w:firstLine="420" w:firstLineChars="200"/>
        <w:rPr>
          <w:rFonts w:asciiTheme="minorEastAsia" w:hAnsiTheme="minorEastAsia"/>
          <w:b/>
        </w:rPr>
      </w:pPr>
      <w:r>
        <w:rPr>
          <w:rFonts w:hint="eastAsia" w:asciiTheme="minorEastAsia" w:hAnsiTheme="minorEastAsia"/>
        </w:rPr>
        <w:t>（1）</w:t>
      </w:r>
      <w:r>
        <w:rPr>
          <w:rFonts w:hint="eastAsia" w:asciiTheme="minorEastAsia" w:hAnsiTheme="minorEastAsia" w:eastAsiaTheme="minorEastAsia"/>
          <w:b/>
        </w:rPr>
        <w:t>投标人资格声明(格式)</w:t>
      </w:r>
    </w:p>
    <w:p>
      <w:pPr>
        <w:adjustRightInd w:val="0"/>
        <w:snapToGrid w:val="0"/>
        <w:spacing w:beforeLines="50" w:line="360" w:lineRule="auto"/>
        <w:ind w:firstLine="420" w:firstLineChars="200"/>
        <w:rPr>
          <w:rFonts w:asciiTheme="minorEastAsia" w:hAnsiTheme="minorEastAsia"/>
        </w:rPr>
      </w:pPr>
      <w:r>
        <w:rPr>
          <w:rFonts w:hint="eastAsia" w:asciiTheme="minorEastAsia" w:hAnsiTheme="minorEastAsia"/>
        </w:rPr>
        <w:t>（2）</w:t>
      </w:r>
      <w:r>
        <w:rPr>
          <w:rFonts w:hint="eastAsia" w:asciiTheme="minorEastAsia" w:hAnsiTheme="minorEastAsia"/>
          <w:b/>
        </w:rPr>
        <w:t>法人或者其他组织的营业执照等主体资格证明文件，自然人的身份证明</w:t>
      </w:r>
      <w:r>
        <w:rPr>
          <w:rFonts w:hint="eastAsia" w:asciiTheme="minorEastAsia" w:hAnsiTheme="minorEastAsia"/>
        </w:rPr>
        <w:t>：投标人为营利法人的，应提交营业执照的复印件；投标人为依法允许经营的事业单位的，应提交事业单位法人证书复印件；投标人为非法人组织的，应提交依法登记证书复印件；</w:t>
      </w:r>
      <w:r>
        <w:rPr>
          <w:rFonts w:hint="eastAsia" w:asciiTheme="minorEastAsia" w:hAnsiTheme="minorEastAsia"/>
          <w:szCs w:val="21"/>
        </w:rPr>
        <w:t>投标人为个体工商户的，应提交个体工商户营业执照复印件；</w:t>
      </w:r>
      <w:r>
        <w:rPr>
          <w:rFonts w:hint="eastAsia" w:asciiTheme="minorEastAsia" w:hAnsiTheme="minorEastAsia"/>
        </w:rPr>
        <w:t>投标人为自然人的，应提交自然人的身份证明复印件。</w:t>
      </w:r>
    </w:p>
    <w:p>
      <w:pPr>
        <w:adjustRightInd w:val="0"/>
        <w:snapToGrid w:val="0"/>
        <w:spacing w:beforeLines="50" w:line="360" w:lineRule="auto"/>
        <w:ind w:firstLine="420" w:firstLineChars="200"/>
        <w:rPr>
          <w:rFonts w:asciiTheme="minorEastAsia" w:hAnsiTheme="minorEastAsia"/>
          <w:szCs w:val="21"/>
        </w:rPr>
      </w:pPr>
      <w:r>
        <w:rPr>
          <w:rFonts w:hint="eastAsia" w:asciiTheme="minorEastAsia" w:hAnsiTheme="minorEastAsia"/>
        </w:rPr>
        <w:t>（3）</w:t>
      </w:r>
      <w:r>
        <w:rPr>
          <w:rFonts w:hint="eastAsia" w:asciiTheme="minorEastAsia" w:hAnsiTheme="minorEastAsia"/>
          <w:b/>
        </w:rPr>
        <w:t>符合特定资格条件证明材料复印件或者情况说明原件</w:t>
      </w:r>
      <w:r>
        <w:rPr>
          <w:rFonts w:hint="eastAsia" w:asciiTheme="minorEastAsia" w:hAnsiTheme="minorEastAsia"/>
        </w:rPr>
        <w:t>。</w:t>
      </w:r>
      <w:r>
        <w:rPr>
          <w:rFonts w:hint="eastAsia" w:asciiTheme="minorEastAsia" w:hAnsiTheme="minorEastAsia"/>
          <w:szCs w:val="21"/>
        </w:rPr>
        <w:t>具体要求见</w:t>
      </w:r>
      <w:r>
        <w:rPr>
          <w:rFonts w:hint="eastAsia" w:asciiTheme="minorEastAsia" w:hAnsiTheme="minorEastAsia"/>
          <w:b/>
          <w:szCs w:val="21"/>
        </w:rPr>
        <w:t>【投标须知前附表】</w:t>
      </w:r>
      <w:r>
        <w:rPr>
          <w:rFonts w:hint="eastAsia" w:asciiTheme="minorEastAsia" w:hAnsiTheme="minorEastAsia"/>
          <w:szCs w:val="21"/>
        </w:rPr>
        <w:t>。</w:t>
      </w:r>
    </w:p>
    <w:p>
      <w:pPr>
        <w:adjustRightInd w:val="0"/>
        <w:snapToGrid w:val="0"/>
        <w:spacing w:beforeLines="50" w:line="360" w:lineRule="auto"/>
        <w:ind w:firstLine="420" w:firstLineChars="200"/>
        <w:rPr>
          <w:rFonts w:asciiTheme="minorEastAsia" w:hAnsiTheme="minorEastAsia"/>
          <w:szCs w:val="21"/>
        </w:rPr>
      </w:pPr>
      <w:r>
        <w:rPr>
          <w:rFonts w:hint="eastAsia" w:asciiTheme="minorEastAsia" w:hAnsiTheme="minorEastAsia"/>
        </w:rPr>
        <w:t>（4）</w:t>
      </w:r>
      <w:r>
        <w:rPr>
          <w:rFonts w:hint="eastAsia" w:asciiTheme="minorEastAsia" w:hAnsiTheme="minorEastAsia"/>
          <w:szCs w:val="21"/>
        </w:rPr>
        <w:t>单位负责人为同一人或者从在直接控股、管理关系的书面说明。</w:t>
      </w:r>
    </w:p>
    <w:p>
      <w:pPr>
        <w:adjustRightInd w:val="0"/>
        <w:snapToGrid w:val="0"/>
        <w:spacing w:beforeLines="50" w:line="360" w:lineRule="auto"/>
        <w:ind w:firstLine="420" w:firstLineChars="200"/>
        <w:rPr>
          <w:rFonts w:asciiTheme="minorEastAsia" w:hAnsiTheme="minorEastAsia"/>
        </w:rPr>
      </w:pPr>
      <w:r>
        <w:rPr>
          <w:rFonts w:hint="eastAsia" w:asciiTheme="minorEastAsia" w:hAnsiTheme="minorEastAsia"/>
        </w:rPr>
        <w:t>15.2投标人以联合体形式投标的，除应提交联合协议(格式)外，参加联合体的各方均应提交上款资格证明材料。</w:t>
      </w:r>
    </w:p>
    <w:p>
      <w:pPr>
        <w:adjustRightInd w:val="0"/>
        <w:snapToGrid w:val="0"/>
        <w:spacing w:beforeLines="50" w:line="360" w:lineRule="auto"/>
        <w:ind w:firstLine="420" w:firstLineChars="200"/>
        <w:rPr>
          <w:rFonts w:asciiTheme="minorEastAsia" w:hAnsiTheme="minorEastAsia"/>
        </w:rPr>
      </w:pPr>
      <w:r>
        <w:rPr>
          <w:rFonts w:hint="eastAsia" w:asciiTheme="minorEastAsia" w:hAnsiTheme="minorEastAsia"/>
        </w:rPr>
        <w:t>15.3上述投标人的资格证明文件均应为有效文件并加盖投标人单位章，并按招标文件规定签署。</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16. 投标货物及服务符合招标文件规定的证明文件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16.1投标人应当提交其拟供的合同项下货物及其服务符合招标文件规定的证明文件,该证明文件作为投标文件的一部分。</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16.2上述证明文件可以是文字资料、图表、数据、证书等资料，包括但不限于：</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（1）货物主要技术指标和性能的详细说明。对有具体参数要求的指标，投标人应提供具体参数值；</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（2）货物的品牌型号、制造商及原产地等说明；</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（3）招标文件</w:t>
      </w:r>
      <w:r>
        <w:rPr>
          <w:rFonts w:hint="eastAsia" w:asciiTheme="minorEastAsia" w:hAnsiTheme="minorEastAsia" w:eastAsiaTheme="minorEastAsia"/>
          <w:szCs w:val="21"/>
          <w:lang w:eastAsia="zh-CN"/>
        </w:rPr>
        <w:t>第五章服务要求</w:t>
      </w:r>
      <w:r>
        <w:rPr>
          <w:rFonts w:hint="eastAsia" w:asciiTheme="minorEastAsia" w:hAnsiTheme="minorEastAsia" w:eastAsiaTheme="minorEastAsia"/>
          <w:szCs w:val="21"/>
        </w:rPr>
        <w:t>要求的其它文件。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宋体" w:hAnsi="宋体"/>
          <w:color w:val="000000"/>
          <w:szCs w:val="21"/>
        </w:rPr>
        <w:t xml:space="preserve">16.3 </w:t>
      </w:r>
      <w:r>
        <w:rPr>
          <w:rFonts w:ascii="宋体" w:hAnsi="宋体"/>
          <w:color w:val="000000"/>
          <w:szCs w:val="21"/>
        </w:rPr>
        <w:t>投标人提供的软件及硬件产品要求在中华人民共和国境内拥有合法的使用权和版权，</w:t>
      </w:r>
      <w:r>
        <w:rPr>
          <w:rFonts w:hint="eastAsia" w:ascii="宋体" w:hAnsi="宋体"/>
          <w:color w:val="000000"/>
          <w:szCs w:val="21"/>
        </w:rPr>
        <w:t>采购人</w:t>
      </w:r>
      <w:r>
        <w:rPr>
          <w:rFonts w:ascii="宋体" w:hAnsi="宋体"/>
          <w:color w:val="000000"/>
          <w:szCs w:val="21"/>
        </w:rPr>
        <w:t>应拥有合法的使用权。</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17. 投标有效期</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17.1投标有效期从提交投标文件的截止之日起计算。投标文件中承诺的投标有效期应当不少于</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中载明的投标有效期。投标有效期不满足要求的，其投标无效。</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17.2投标有效期内投标人撤销投标文件的，投标人应承担招标文件和法律规定的责任。</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18. 投标保证金</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18.1招标文件要求投标人提交投标保证金的，</w:t>
      </w:r>
      <w:r>
        <w:rPr>
          <w:rFonts w:hint="eastAsia" w:asciiTheme="minorEastAsia" w:hAnsiTheme="minorEastAsia" w:eastAsiaTheme="minorEastAsia"/>
          <w:bCs/>
          <w:szCs w:val="21"/>
        </w:rPr>
        <w:t>投标人</w:t>
      </w:r>
      <w:r>
        <w:rPr>
          <w:rFonts w:hint="eastAsia" w:asciiTheme="minorEastAsia" w:hAnsiTheme="minorEastAsia" w:eastAsiaTheme="minorEastAsia"/>
          <w:szCs w:val="21"/>
        </w:rPr>
        <w:t>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w:t>
      </w:r>
      <w:r>
        <w:rPr>
          <w:rFonts w:hint="eastAsia" w:asciiTheme="minorEastAsia" w:hAnsiTheme="minorEastAsia" w:eastAsiaTheme="minorEastAsia"/>
          <w:bCs/>
          <w:szCs w:val="21"/>
        </w:rPr>
        <w:t>在</w:t>
      </w:r>
      <w:r>
        <w:rPr>
          <w:rFonts w:hint="eastAsia" w:asciiTheme="minorEastAsia" w:hAnsiTheme="minorEastAsia" w:eastAsiaTheme="minorEastAsia"/>
          <w:szCs w:val="21"/>
        </w:rPr>
        <w:t>提交投标文件的截止时间</w:t>
      </w:r>
      <w:r>
        <w:rPr>
          <w:rFonts w:hint="eastAsia" w:asciiTheme="minorEastAsia" w:hAnsiTheme="minorEastAsia" w:eastAsiaTheme="minorEastAsia"/>
          <w:bCs/>
          <w:szCs w:val="21"/>
        </w:rPr>
        <w:t>前提交投标保证金</w:t>
      </w:r>
      <w:r>
        <w:rPr>
          <w:rFonts w:hint="eastAsia" w:asciiTheme="minorEastAsia" w:hAnsiTheme="minorEastAsia" w:eastAsiaTheme="minorEastAsia"/>
          <w:szCs w:val="21"/>
        </w:rPr>
        <w:t>。</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18.2联合体投标的，可以由联合体中的一方或者共同提交投标保证金。以一方名义提交投标保证金的，对联合体各方均具有约束力。</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18.3投标保证金的退还按以下规定办理：</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（1）中标投标人的投标保证金，将在政府采购合同签订后5个工作日内退还。</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（2）未中标的投标人的投标保证金，将在中标通知书发出后5个工作日内退还。</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（3）终止招标的。对于已递交投标保证金的，采购代理机构在终止招标公告发布后5个工作日内退还。</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（4）在投标截止日前撤回投标的，对于已递交投标保证金的，采购代理机构在收到投标人书面撤回投标通知之日起5个工作日内退还。</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18.4有以下情形之一的，投标保证金将不予退还，上交国库：</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（1）投标人在招标文件中规定的投标有效期内撤销其投标；</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（2）中标人无正当理由不与招标人订立合同，在签订合同时向招标人提出附加条件，或者不按照招标文件要求提交履约保证金。</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19.分包</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19.1投标人拟在中标后将中</w:t>
      </w:r>
      <w:r>
        <w:rPr>
          <w:rFonts w:hint="eastAsia" w:asciiTheme="minorEastAsia" w:hAnsiTheme="minorEastAsia" w:eastAsiaTheme="minorEastAsia"/>
          <w:szCs w:val="21"/>
        </w:rPr>
        <w:t>标项目的非主体、非关键性工作进行分包的，应符合</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规定的分包内容、分包金</w:t>
      </w:r>
      <w:r>
        <w:rPr>
          <w:rFonts w:hint="eastAsia" w:asciiTheme="minorEastAsia" w:hAnsiTheme="minorEastAsia" w:eastAsiaTheme="minorEastAsia"/>
        </w:rPr>
        <w:t>额和资质要求等限制性条件，并在投标文件中载明分包承担主体，且分包承担主体不得再次分包。</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19.2中标人应当就分包项目向采购人负责，分包承担主体就分包项目承担连带责任。</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19.3不符合招标文件中有关分包规定的，其投标无效。</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20. 投标文件的签署</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20.1投标文件第一部分资格证明文件：正本一份,副本份数见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；投标文件第二部分商务和技术文件：正本一份,副本份数见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；投标文件电子文档（U盘或光盘）：一份</w:t>
      </w:r>
      <w:r>
        <w:rPr>
          <w:rFonts w:hint="eastAsia" w:asciiTheme="minorEastAsia" w:hAnsiTheme="minorEastAsia" w:eastAsiaTheme="minorEastAsia"/>
          <w:b/>
          <w:szCs w:val="21"/>
        </w:rPr>
        <w:t>。</w:t>
      </w:r>
      <w:r>
        <w:rPr>
          <w:rFonts w:hint="eastAsia" w:asciiTheme="minorEastAsia" w:hAnsiTheme="minorEastAsia" w:eastAsiaTheme="minorEastAsia"/>
          <w:szCs w:val="21"/>
        </w:rPr>
        <w:t>纸质版投标文件须清楚地注明“正本”或“副本”的字样。若正本与副本中存在不符的内容，以正本为准；若纸质版文件与电子文档中存在不符的内容，以纸质版文件为准。</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20.2投标文件正本应打印或用不褪色的材料书写，并由投标人和投标人代表按照招标文件规定在投标文件需要签署的位置签署、盖章。投标人代表可为投标人法定代表人；投标人代表不是投标人的法定代表人的，应提供法定代表人授权委托书。投标文件的副本可以是正本文件的复印件。投标文件的正本与副本应分别装订成册，并编制目录。</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20.3投标文件中的任何行间插字、涂改和增删，改动的地方应加盖单位章或由投标人代表签字确认。未按上述要求签署</w:t>
      </w:r>
      <w:r>
        <w:rPr>
          <w:rFonts w:hint="eastAsia" w:asciiTheme="minorEastAsia" w:hAnsiTheme="minorEastAsia" w:eastAsiaTheme="minorEastAsia"/>
          <w:szCs w:val="21"/>
          <w:lang w:eastAsia="zh-CN"/>
        </w:rPr>
        <w:t>盖章</w:t>
      </w:r>
      <w:r>
        <w:rPr>
          <w:rFonts w:hint="eastAsia" w:asciiTheme="minorEastAsia" w:hAnsiTheme="minorEastAsia" w:eastAsiaTheme="minorEastAsia"/>
          <w:szCs w:val="21"/>
        </w:rPr>
        <w:t>的，其投标无效。</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20.4为便于采购文件保存，投标文件电子文档建议为PDF格式，内容与纸质投标文件正本一致。</w:t>
      </w:r>
    </w:p>
    <w:p>
      <w:pPr>
        <w:pStyle w:val="9"/>
        <w:adjustRightInd w:val="0"/>
        <w:snapToGrid w:val="0"/>
        <w:spacing w:beforeLines="50" w:after="0" w:line="360" w:lineRule="auto"/>
        <w:jc w:val="center"/>
        <w:rPr>
          <w:rFonts w:hint="eastAsia" w:ascii="黑体" w:hAnsi="黑体" w:eastAsia="黑体"/>
          <w:sz w:val="28"/>
          <w:szCs w:val="28"/>
        </w:rPr>
      </w:pPr>
      <w:bookmarkStart w:id="37" w:name="_Toc1374"/>
      <w:bookmarkStart w:id="38" w:name="_Toc35446160"/>
      <w:bookmarkStart w:id="39" w:name="_Toc2246"/>
      <w:bookmarkStart w:id="40" w:name="_Toc8568"/>
      <w:r>
        <w:rPr>
          <w:rFonts w:hint="eastAsia" w:ascii="黑体" w:hAnsi="黑体" w:eastAsia="黑体"/>
          <w:sz w:val="28"/>
          <w:szCs w:val="28"/>
        </w:rPr>
        <w:t>四、投标</w:t>
      </w:r>
      <w:bookmarkEnd w:id="37"/>
      <w:bookmarkEnd w:id="38"/>
      <w:bookmarkEnd w:id="39"/>
      <w:bookmarkEnd w:id="40"/>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21.</w:t>
      </w:r>
      <w:r>
        <w:rPr>
          <w:rFonts w:hint="eastAsia" w:asciiTheme="minorEastAsia" w:hAnsiTheme="minorEastAsia" w:eastAsiaTheme="minorEastAsia"/>
          <w:b/>
          <w:bCs/>
          <w:sz w:val="24"/>
        </w:rPr>
        <w:t xml:space="preserve"> 投标文件的密封和标记</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21.1投标人应将投标文件密封包装以保证自己的投标信息在开标前不被透露。投标时，投标人应将投标文件以下列要求进行密封包装：</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b/>
          <w:szCs w:val="21"/>
        </w:rPr>
        <w:t>投标文件的第一部分资格证明文件：将其正本和副本装入标记为“投标文件第一部分资格证明文件”的密封袋中进行提交</w:t>
      </w:r>
      <w:r>
        <w:rPr>
          <w:rFonts w:hint="eastAsia" w:asciiTheme="minorEastAsia" w:hAnsiTheme="minorEastAsia" w:eastAsiaTheme="minorEastAsia"/>
          <w:szCs w:val="21"/>
        </w:rPr>
        <w:t>；</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b/>
          <w:szCs w:val="21"/>
        </w:rPr>
        <w:t>投标文件的第二部分商务和技术文件：将其正本和副本装入标记为“投标文件第二部分商务和技术文件”的密封袋（箱）中进行提交</w:t>
      </w:r>
      <w:r>
        <w:rPr>
          <w:rFonts w:hint="eastAsia" w:asciiTheme="minorEastAsia" w:hAnsiTheme="minorEastAsia" w:eastAsiaTheme="minorEastAsia"/>
          <w:szCs w:val="21"/>
        </w:rPr>
        <w:t>；</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文件电子文档：投标文件电子文档可以单独装入标记为“投标文件电子文档”的密封袋中，也可以装入标记为“投标文件第一部分资格证明文件或者“投标文件第二部分商务和技术文件”的密封袋（箱）中进行提交。</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21.2投标文件密封袋（箱）上应标注内容：</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（1）“投标文件第一部分资格证明文件”或者“投标文件第二部分商务及技术文件”或者“投标文件电子文档”；</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（2）采购项目名称和采购代理编号，如果采购项目分包招标的，还应注明投标的包号；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（3）递交至投标邀请中指明的地址；</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（4）“在年月日时分(投标截止时间)前不得开启”字样；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（5）投标人名称地址和联系电话。</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22. 投标截止期</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22.1投标人应在本章第7.2款规定的投标截止时间前将投标文件</w:t>
      </w:r>
      <w:r>
        <w:rPr>
          <w:rFonts w:hint="eastAsia" w:asciiTheme="minorEastAsia" w:hAnsiTheme="minorEastAsia" w:eastAsiaTheme="minorEastAsia"/>
          <w:bCs/>
          <w:szCs w:val="21"/>
        </w:rPr>
        <w:t>密封送达</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指定的开标地点。</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22.2逾期送达或者未按照本章第21.1款规定密封的投标文件，以及未通过资格预审的供应商提交的投标文件（实行资格预审的），采购人或者采购代理机构应当拒收。</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22.3采购人或者采购代理机构</w:t>
      </w:r>
      <w:r>
        <w:rPr>
          <w:rFonts w:hint="eastAsia" w:asciiTheme="minorEastAsia" w:hAnsiTheme="minorEastAsia" w:eastAsiaTheme="minorEastAsia"/>
          <w:bCs/>
          <w:szCs w:val="21"/>
        </w:rPr>
        <w:t>收到投标文件后，应当如实记载投标文件的送达时间和密封情况，签收保存，并向投标人出具包括</w:t>
      </w:r>
      <w:r>
        <w:rPr>
          <w:rFonts w:ascii="宋体" w:hAnsi="宋体" w:cs="宋体"/>
          <w:kern w:val="0"/>
          <w:sz w:val="22"/>
          <w:szCs w:val="22"/>
        </w:rPr>
        <w:t>以下</w:t>
      </w:r>
      <w:r>
        <w:rPr>
          <w:rFonts w:hint="eastAsia" w:ascii="宋体" w:hAnsi="宋体" w:cs="宋体"/>
          <w:kern w:val="0"/>
          <w:sz w:val="22"/>
          <w:szCs w:val="22"/>
        </w:rPr>
        <w:t>信息的</w:t>
      </w:r>
      <w:r>
        <w:rPr>
          <w:rFonts w:hint="eastAsia" w:asciiTheme="minorEastAsia" w:hAnsiTheme="minorEastAsia" w:eastAsiaTheme="minorEastAsia"/>
          <w:bCs/>
          <w:szCs w:val="21"/>
        </w:rPr>
        <w:t>签收回执。任何单位和个人不得在开标前开启投标文件。</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宋体" w:hAnsi="宋体" w:cs="宋体"/>
          <w:szCs w:val="21"/>
        </w:rPr>
        <w:t>项目名称</w:t>
      </w:r>
      <w:r>
        <w:rPr>
          <w:rFonts w:hint="eastAsia" w:ascii="宋体" w:hAnsi="宋体" w:cs="宋体"/>
          <w:szCs w:val="21"/>
        </w:rPr>
        <w:t>、采购代理编号；</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w:t>
      </w:r>
      <w:r>
        <w:rPr>
          <w:rFonts w:ascii="宋体" w:hAnsi="宋体" w:cs="宋体"/>
          <w:szCs w:val="21"/>
        </w:rPr>
        <w:t>投标人名称</w:t>
      </w:r>
      <w:r>
        <w:rPr>
          <w:rFonts w:hint="eastAsia" w:ascii="宋体" w:hAnsi="宋体" w:cs="宋体"/>
          <w:szCs w:val="21"/>
        </w:rPr>
        <w:t>；</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（3）投标文件送达</w:t>
      </w:r>
      <w:r>
        <w:rPr>
          <w:rFonts w:ascii="宋体" w:hAnsi="宋体" w:cs="宋体"/>
          <w:szCs w:val="21"/>
        </w:rPr>
        <w:t>时间</w:t>
      </w:r>
      <w:r>
        <w:rPr>
          <w:rFonts w:hint="eastAsia" w:ascii="宋体" w:hAnsi="宋体" w:cs="宋体"/>
          <w:szCs w:val="21"/>
        </w:rPr>
        <w:t>、地址；</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（4）</w:t>
      </w:r>
      <w:r>
        <w:rPr>
          <w:rFonts w:ascii="宋体" w:hAnsi="宋体" w:cs="宋体"/>
          <w:szCs w:val="21"/>
        </w:rPr>
        <w:t>投标文件密封情况</w:t>
      </w:r>
      <w:r>
        <w:rPr>
          <w:rFonts w:hint="eastAsia" w:ascii="宋体" w:hAnsi="宋体" w:cs="宋体"/>
          <w:szCs w:val="21"/>
        </w:rPr>
        <w:t>；</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w:t>
      </w:r>
      <w:r>
        <w:rPr>
          <w:rFonts w:hint="eastAsia" w:ascii="宋体" w:hAnsi="宋体" w:cs="宋体"/>
          <w:szCs w:val="21"/>
        </w:rPr>
        <w:t>采购代理机构名称；</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（6）采购人或者采购代理机构</w:t>
      </w:r>
      <w:r>
        <w:rPr>
          <w:rFonts w:ascii="宋体" w:hAnsi="宋体" w:cs="宋体"/>
          <w:szCs w:val="21"/>
        </w:rPr>
        <w:t>接收人签字</w:t>
      </w:r>
      <w:r>
        <w:rPr>
          <w:rFonts w:hint="eastAsia" w:ascii="宋体" w:hAnsi="宋体" w:cs="宋体"/>
          <w:szCs w:val="21"/>
        </w:rPr>
        <w:t>。</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23. 投标文件的修改和撤回</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23.1投标人在提交投标文件的截止时间前，可以对所提交的投标文件进行补充、修改或者撤回，并书面通知采购人或者采购代理机构。补充、修改的内容应当按照招标文件规定编制、签署、密封和标记（在密封袋上注明“修改”字样，以及修改的时间），作为投标文件的组成部分，并在提交投标文件的截止时间前递交。</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23.2采购人或者采购代理机构对投标人提交的投标文件补充、修改或者撤回的书面通知，按照本章第21.2款规定如实记载、签收保存，并向投标人出具签收回执。</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23.3投标人在</w:t>
      </w:r>
      <w:r>
        <w:rPr>
          <w:rFonts w:hint="eastAsia" w:asciiTheme="minorEastAsia" w:hAnsiTheme="minorEastAsia" w:eastAsiaTheme="minorEastAsia"/>
          <w:bCs/>
          <w:szCs w:val="21"/>
        </w:rPr>
        <w:t>提交投标文件的截止时间</w:t>
      </w:r>
      <w:r>
        <w:rPr>
          <w:rFonts w:hint="eastAsia" w:asciiTheme="minorEastAsia" w:hAnsiTheme="minorEastAsia" w:eastAsiaTheme="minorEastAsia"/>
          <w:szCs w:val="21"/>
        </w:rPr>
        <w:t>前撤回已提交的投标文件的，采购人或者采购代理机构应当自收到投标人书面撤回通知之日起5个工作日内，退还已收取的投标保证金，但因投标人自身原因导致无法及时退还的除外。</w:t>
      </w:r>
    </w:p>
    <w:p>
      <w:pPr>
        <w:adjustRightInd w:val="0"/>
        <w:snapToGrid w:val="0"/>
        <w:spacing w:beforeLines="50" w:line="360" w:lineRule="auto"/>
        <w:jc w:val="left"/>
        <w:rPr>
          <w:rFonts w:cs="Arial" w:asciiTheme="minorEastAsia" w:hAnsiTheme="minorEastAsia" w:eastAsiaTheme="minorEastAsia"/>
          <w:b/>
          <w:sz w:val="24"/>
        </w:rPr>
      </w:pPr>
      <w:r>
        <w:rPr>
          <w:rFonts w:hint="eastAsia" w:asciiTheme="minorEastAsia" w:hAnsiTheme="minorEastAsia" w:eastAsiaTheme="minorEastAsia"/>
          <w:b/>
          <w:bCs/>
          <w:sz w:val="24"/>
        </w:rPr>
        <w:t>24.</w:t>
      </w:r>
      <w:r>
        <w:rPr>
          <w:rFonts w:hint="eastAsia" w:cs="Arial" w:asciiTheme="minorEastAsia" w:hAnsiTheme="minorEastAsia" w:eastAsiaTheme="minorEastAsia"/>
          <w:b/>
          <w:sz w:val="24"/>
        </w:rPr>
        <w:t xml:space="preserve"> 串通</w:t>
      </w:r>
      <w:r>
        <w:rPr>
          <w:rFonts w:hint="eastAsia" w:asciiTheme="minorEastAsia" w:hAnsiTheme="minorEastAsia" w:eastAsiaTheme="minorEastAsia"/>
          <w:b/>
          <w:sz w:val="24"/>
        </w:rPr>
        <w:t>投标行为</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24.1有下列情形之一的，属于恶意串通，对投标人依照政府采购法第七十七条第一款的规定追究法律责任：</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（1）投标人直接或者间接从采购人或者采购代理机构处获得其他投标人的相关情况并修改其投标文件；</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（2）投标人按照采购人或者采购代理机构的授意撤换、修改投标文件；</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（3）投标人之间协商报价、技术方案等投标文件的实质性内容；</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（4）属于同一集团、协会、商会等组织成员的投标人按照该组织要求协同参加政府采购活动；</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（5）投标人之间事先约定由某一特定投标人中标；</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（6）投标人之间商定部分投标人放弃参加政府采购活动或者放弃中标；</w:t>
      </w:r>
    </w:p>
    <w:p>
      <w:pPr>
        <w:adjustRightInd w:val="0"/>
        <w:snapToGrid w:val="0"/>
        <w:spacing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（7）投标人与采购人或者采购代理机构之间、投标人相互之间，为谋求特定投标人中标或者排斥其他投标人的其他串通行为。</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24.2有下列情形之一的，视为投标人串通投标，其投标无效：</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（1）不同投标人的投标文件由同一单位或者个人编制；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（2）不同投标人委托同一单位或者个人办理投标事宜；</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（3）不同投标人的投标文件载明的项目管理成员或者联系人员为同一人；</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（4）不同投标人的投标文件异常一致或者投标报价呈规律性差异；</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（5）不同投标人的投标文件相互混装；</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（6）不同投标人的投标保证金从同一单位或者个人的账户转出。</w:t>
      </w:r>
    </w:p>
    <w:p>
      <w:pPr>
        <w:pStyle w:val="9"/>
        <w:adjustRightInd w:val="0"/>
        <w:snapToGrid w:val="0"/>
        <w:spacing w:beforeLines="50" w:after="0" w:line="360" w:lineRule="auto"/>
        <w:jc w:val="center"/>
        <w:rPr>
          <w:rFonts w:ascii="黑体" w:hAnsi="黑体" w:eastAsia="黑体"/>
          <w:sz w:val="28"/>
          <w:szCs w:val="28"/>
        </w:rPr>
      </w:pPr>
      <w:bookmarkStart w:id="41" w:name="_Toc3961"/>
      <w:bookmarkStart w:id="42" w:name="_Toc11203"/>
      <w:bookmarkStart w:id="43" w:name="_Toc16516"/>
      <w:bookmarkStart w:id="44" w:name="_Toc4971"/>
      <w:bookmarkStart w:id="45" w:name="_Toc35446161"/>
      <w:bookmarkStart w:id="46" w:name="_Toc21163"/>
      <w:r>
        <w:rPr>
          <w:rFonts w:hint="eastAsia" w:ascii="黑体" w:hAnsi="黑体" w:eastAsia="黑体"/>
          <w:sz w:val="28"/>
          <w:szCs w:val="28"/>
        </w:rPr>
        <w:t>五、开标，资格审查和评标</w:t>
      </w:r>
      <w:bookmarkEnd w:id="41"/>
      <w:bookmarkEnd w:id="42"/>
      <w:bookmarkEnd w:id="43"/>
      <w:bookmarkEnd w:id="44"/>
      <w:bookmarkEnd w:id="45"/>
      <w:bookmarkEnd w:id="46"/>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25. 开标</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25.1采购人或者采购代理机构在招标文件规定的地点组织公开开标，并邀请投标人参加。投标人未参加开标的，视同认可开标结果。</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25.2开标时，由投标人或其推选的代表检查投标文件的密封情况；经确认无误后，由采购人或者采购代理机构当众拆封</w:t>
      </w:r>
      <w:r>
        <w:rPr>
          <w:rFonts w:hint="eastAsia" w:cs="Arial" w:asciiTheme="minorEastAsia" w:hAnsiTheme="minorEastAsia" w:eastAsiaTheme="minorEastAsia"/>
          <w:szCs w:val="21"/>
        </w:rPr>
        <w:t>投标文件</w:t>
      </w:r>
      <w:r>
        <w:rPr>
          <w:rFonts w:hint="eastAsia" w:asciiTheme="minorEastAsia" w:hAnsiTheme="minorEastAsia" w:eastAsiaTheme="minorEastAsia"/>
          <w:szCs w:val="21"/>
        </w:rPr>
        <w:t>，宣读投标人名称、投标价格和</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规定需要宣布的其他内容。投标人不足3家的，不得开标。</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25.3开标过程应当由采购人或者采购代理机构负责记录，由参加开标的各投标人代表和相关工作人员签字确认后随采购文件一并存档。</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25.4投标人代表对开标过程和开标记录有疑义，以及认为采购人或者采购代理机构相关工作人员有《政府采购法实施条例》第九条第一款需要回避的情形的，应当场提出询问或者回避申请。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25.5采购人或者采购代理机构对投标人代表当场提出的询问或者回避申请，按《政府采购法实施条例》有关规定及时处理。</w:t>
      </w:r>
    </w:p>
    <w:p>
      <w:pPr>
        <w:adjustRightInd w:val="0"/>
        <w:snapToGrid w:val="0"/>
        <w:spacing w:beforeLines="50" w:line="360" w:lineRule="auto"/>
        <w:jc w:val="left"/>
        <w:rPr>
          <w:rFonts w:asciiTheme="minorEastAsia" w:hAnsiTheme="minorEastAsia" w:eastAsiaTheme="minorEastAsia"/>
          <w:b/>
          <w:sz w:val="24"/>
        </w:rPr>
      </w:pPr>
      <w:r>
        <w:rPr>
          <w:rStyle w:val="51"/>
          <w:rFonts w:hint="eastAsia" w:cs="Arial" w:asciiTheme="minorEastAsia" w:hAnsiTheme="minorEastAsia" w:eastAsiaTheme="minorEastAsia"/>
          <w:sz w:val="24"/>
        </w:rPr>
        <w:t>26.</w:t>
      </w:r>
      <w:r>
        <w:rPr>
          <w:rFonts w:hint="eastAsia" w:asciiTheme="minorEastAsia" w:hAnsiTheme="minorEastAsia" w:eastAsiaTheme="minorEastAsia"/>
          <w:b/>
          <w:sz w:val="24"/>
        </w:rPr>
        <w:t xml:space="preserve"> 资格审查</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26.1开标结束后，采购人或者采购代理机构依法按照第三章资格审查规定组织资格审查。</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26.2资格审查结束后，采购人及采购代理机构应将资格审查结果告知评标委员会。资格审查不合格投标人不得进入评标；资格审查合格投标人少于3家的，不得评标。</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27.</w:t>
      </w:r>
      <w:r>
        <w:rPr>
          <w:rFonts w:hint="eastAsia" w:asciiTheme="minorEastAsia" w:hAnsiTheme="minorEastAsia" w:eastAsiaTheme="minorEastAsia"/>
          <w:b/>
          <w:sz w:val="24"/>
        </w:rPr>
        <w:t xml:space="preserve"> 评标委员会</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27.1评标由依法组建的评标委员会负责，评标委员会由采购人代表和评审专家组成。</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27.2评标委员会成员有下列情形之一的，应当回避：</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（1）参加采购活动前三年内,与投标人存在劳动关系,或者担任过投标人的董事、监事,或者是投标人的控股股东或实际控制人；</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（2）与投标人的法定代表人或者负责人有夫妻、直系血亲、三代以内旁系血亲或者近姻亲关系；</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（3）与投标人有其他可能影响政府采购活动公平、公正进行的关系。</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27.3评标委员会负责具体评标事务，并独立履行下列职责：</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（1）审查、评价投标文件是否符合招标文件的商务、技术等实质性要求；</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（2）要求投标人对投标文件有关事项作出澄清或者说明；</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（3）对投标文件进行比较和评价；</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（4）确定中标候选人名单，以及根据采购人委托直接确定中标人。</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28.</w:t>
      </w:r>
      <w:r>
        <w:rPr>
          <w:rFonts w:hint="eastAsia" w:asciiTheme="minorEastAsia" w:hAnsiTheme="minorEastAsia" w:eastAsiaTheme="minorEastAsia"/>
          <w:b/>
          <w:bCs/>
          <w:sz w:val="24"/>
        </w:rPr>
        <w:t xml:space="preserve"> 评标</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28.1评标委员会按照</w:t>
      </w:r>
      <w:r>
        <w:rPr>
          <w:rFonts w:hint="eastAsia" w:asciiTheme="minorEastAsia" w:hAnsiTheme="minorEastAsia" w:eastAsiaTheme="minorEastAsia"/>
          <w:bCs/>
        </w:rPr>
        <w:t>第四章评标方法及标准</w:t>
      </w:r>
      <w:r>
        <w:rPr>
          <w:rFonts w:hint="eastAsia" w:asciiTheme="minorEastAsia" w:hAnsiTheme="minorEastAsia" w:eastAsiaTheme="minorEastAsia"/>
        </w:rPr>
        <w:t>规定的评标方法、评审因素、标准和程序以及有关法律、法规及规章对投标文件进行评审。</w:t>
      </w:r>
    </w:p>
    <w:p>
      <w:pPr>
        <w:pStyle w:val="9"/>
        <w:adjustRightInd w:val="0"/>
        <w:snapToGrid w:val="0"/>
        <w:spacing w:beforeLines="50" w:after="0" w:line="360" w:lineRule="auto"/>
        <w:jc w:val="center"/>
        <w:rPr>
          <w:rFonts w:ascii="黑体" w:hAnsi="黑体" w:eastAsia="黑体"/>
          <w:sz w:val="28"/>
          <w:szCs w:val="28"/>
        </w:rPr>
      </w:pPr>
      <w:bookmarkStart w:id="47" w:name="_Toc35446162"/>
      <w:bookmarkStart w:id="48" w:name="_Toc13163"/>
      <w:bookmarkStart w:id="49" w:name="_Toc23958"/>
      <w:bookmarkStart w:id="50" w:name="_Toc27341"/>
      <w:bookmarkStart w:id="51" w:name="_Toc8480"/>
      <w:bookmarkStart w:id="52" w:name="_Toc1344"/>
      <w:r>
        <w:rPr>
          <w:rFonts w:hint="eastAsia" w:ascii="黑体" w:hAnsi="黑体" w:eastAsia="黑体"/>
          <w:sz w:val="28"/>
          <w:szCs w:val="28"/>
        </w:rPr>
        <w:t>六、中标信息公布</w:t>
      </w:r>
      <w:bookmarkEnd w:id="47"/>
      <w:bookmarkEnd w:id="48"/>
      <w:bookmarkEnd w:id="49"/>
      <w:bookmarkEnd w:id="50"/>
      <w:bookmarkEnd w:id="51"/>
      <w:bookmarkEnd w:id="52"/>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29.</w:t>
      </w:r>
      <w:r>
        <w:rPr>
          <w:rFonts w:hint="eastAsia" w:asciiTheme="minorEastAsia" w:hAnsiTheme="minorEastAsia" w:eastAsiaTheme="minorEastAsia"/>
          <w:b/>
          <w:bCs/>
          <w:sz w:val="24"/>
        </w:rPr>
        <w:t>中标通知书与中标信息公布</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29.1采购代理机构应当在评标结束后2个工作日内将资格审查情况报告和评标报告送采购人。</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29.2采购人应当自收到资格审查情况报告和评标报告之日起5个工作日内，在评标报告确定的中标候选人名单中按顺序确定中标人。中标候选人并列的（得分且投标报价相同的），按照</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规定的方式确定中标人。</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29.3采购代理机构应当自采购人确定中标供应商之日起2个工作日内，发出中标通知书，并在本章第10.1款规定的媒体公告中标结果，招标文件随中标结果同时公告，中标结果公告期限为1个工作日。</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30.</w:t>
      </w:r>
      <w:r>
        <w:rPr>
          <w:rFonts w:hint="eastAsia" w:asciiTheme="minorEastAsia" w:hAnsiTheme="minorEastAsia" w:eastAsiaTheme="minorEastAsia"/>
          <w:b/>
          <w:sz w:val="24"/>
        </w:rPr>
        <w:t xml:space="preserve"> 投标人询问及</w:t>
      </w:r>
      <w:r>
        <w:rPr>
          <w:rFonts w:hint="eastAsia" w:asciiTheme="minorEastAsia" w:hAnsiTheme="minorEastAsia" w:eastAsiaTheme="minorEastAsia"/>
          <w:b/>
          <w:bCs/>
          <w:sz w:val="24"/>
        </w:rPr>
        <w:t>质疑</w:t>
      </w:r>
    </w:p>
    <w:p>
      <w:pPr>
        <w:adjustRightInd w:val="0"/>
        <w:snapToGrid w:val="0"/>
        <w:spacing w:beforeLines="50" w:line="360" w:lineRule="auto"/>
        <w:ind w:firstLine="420" w:firstLineChars="200"/>
        <w:jc w:val="left"/>
        <w:rPr>
          <w:rFonts w:ascii="宋体" w:hAnsi="宋体"/>
          <w:szCs w:val="21"/>
        </w:rPr>
      </w:pPr>
      <w:r>
        <w:rPr>
          <w:rFonts w:hint="eastAsia" w:ascii="宋体" w:hAnsi="宋体"/>
          <w:szCs w:val="21"/>
        </w:rPr>
        <w:t>30.1投标人对政府采购活动事项有疑问的，可以向采购人或者采购代理机构提出询问。采购人或者采购代理机构应在3个工作日内作出答复。</w:t>
      </w:r>
    </w:p>
    <w:p>
      <w:pPr>
        <w:adjustRightInd w:val="0"/>
        <w:snapToGrid w:val="0"/>
        <w:spacing w:beforeLines="50" w:line="360" w:lineRule="auto"/>
        <w:ind w:firstLine="420" w:firstLineChars="200"/>
        <w:jc w:val="left"/>
        <w:rPr>
          <w:rFonts w:ascii="宋体" w:hAnsi="宋体"/>
          <w:szCs w:val="21"/>
        </w:rPr>
      </w:pPr>
      <w:r>
        <w:rPr>
          <w:rFonts w:hint="eastAsia" w:ascii="宋体" w:hAnsi="宋体"/>
          <w:szCs w:val="21"/>
        </w:rPr>
        <w:t>30.2投标人认为招标文件、采购过程和中标结果使自己的权益受到损害的，可以在知道或者应知其权益受到损害之日起7个工作日内，按照《湖南省财政厅关于印发＜政府采购质疑答复和投诉处理操作规程＞的通知》(湘财购〔2019〕20号)规定，以纸质书面形式向采购人、采购代理机构提出质疑。</w:t>
      </w:r>
    </w:p>
    <w:p>
      <w:pPr>
        <w:adjustRightInd w:val="0"/>
        <w:snapToGrid w:val="0"/>
        <w:spacing w:beforeLines="50" w:line="360" w:lineRule="auto"/>
        <w:ind w:firstLine="420" w:firstLineChars="200"/>
        <w:jc w:val="left"/>
        <w:rPr>
          <w:rFonts w:ascii="宋体" w:hAnsi="宋体"/>
          <w:szCs w:val="21"/>
        </w:rPr>
      </w:pPr>
      <w:r>
        <w:rPr>
          <w:rFonts w:hint="eastAsia" w:ascii="宋体" w:hAnsi="宋体"/>
          <w:szCs w:val="21"/>
        </w:rPr>
        <w:t>30.3投标人提出质疑的，应按照《湖南省财政厅关于印发＜政府采购质疑答复和投诉处理操作规程＞的通知》规定制作、签署、送达。采购人、采购代理机构接收质疑函的联系部门、联系电话和通讯地址见</w:t>
      </w:r>
      <w:r>
        <w:rPr>
          <w:rFonts w:hint="eastAsia" w:ascii="宋体" w:hAnsi="宋体"/>
          <w:b/>
          <w:szCs w:val="21"/>
        </w:rPr>
        <w:t>【申请人须知前附表】</w:t>
      </w:r>
      <w:r>
        <w:rPr>
          <w:rFonts w:hint="eastAsia" w:ascii="宋体" w:hAnsi="宋体"/>
          <w:szCs w:val="21"/>
        </w:rPr>
        <w:t xml:space="preserve">。  </w:t>
      </w:r>
    </w:p>
    <w:p>
      <w:pPr>
        <w:adjustRightInd w:val="0"/>
        <w:snapToGrid w:val="0"/>
        <w:spacing w:beforeLines="50" w:line="360" w:lineRule="auto"/>
        <w:ind w:firstLine="420" w:firstLineChars="200"/>
        <w:jc w:val="left"/>
        <w:rPr>
          <w:rFonts w:ascii="宋体" w:hAnsi="宋体"/>
          <w:szCs w:val="21"/>
        </w:rPr>
      </w:pPr>
      <w:r>
        <w:rPr>
          <w:rFonts w:hint="eastAsia" w:ascii="宋体" w:hAnsi="宋体"/>
          <w:szCs w:val="21"/>
        </w:rPr>
        <w:t>30.4采购人、采购代理机构按照《湖南省财政厅关于印发＜政府采购质疑答复和投诉处理操作规程＞的通知》规定进行质疑答复。</w:t>
      </w:r>
    </w:p>
    <w:p>
      <w:pPr>
        <w:adjustRightInd w:val="0"/>
        <w:snapToGrid w:val="0"/>
        <w:spacing w:beforeLines="50" w:line="360" w:lineRule="auto"/>
        <w:ind w:firstLine="420" w:firstLineChars="200"/>
        <w:jc w:val="left"/>
        <w:rPr>
          <w:rFonts w:ascii="宋体" w:hAnsi="宋体"/>
          <w:b/>
          <w:bCs/>
        </w:rPr>
      </w:pPr>
      <w:r>
        <w:rPr>
          <w:rFonts w:hint="eastAsia" w:ascii="宋体" w:hAnsi="宋体"/>
          <w:szCs w:val="21"/>
        </w:rPr>
        <w:t>30</w:t>
      </w:r>
      <w:r>
        <w:rPr>
          <w:rFonts w:ascii="宋体" w:hAnsi="宋体"/>
          <w:szCs w:val="21"/>
        </w:rPr>
        <w:t>.</w:t>
      </w:r>
      <w:r>
        <w:rPr>
          <w:rFonts w:hint="eastAsia" w:ascii="宋体" w:hAnsi="宋体"/>
          <w:szCs w:val="21"/>
        </w:rPr>
        <w:t>5投标人对采购人、采购代理机构的答复不满意，或采购人或采购代理机构未在规定的期限作出答复的，可在答复期满后15个工作日内，按照《湖南省财政厅关于印发＜政府采购质疑答复和投诉处理操作规程＞的通知》规定向采购人同级财政部门提出投诉。</w:t>
      </w:r>
    </w:p>
    <w:p>
      <w:pPr>
        <w:pStyle w:val="9"/>
        <w:adjustRightInd w:val="0"/>
        <w:snapToGrid w:val="0"/>
        <w:spacing w:beforeLines="50" w:after="0" w:line="360" w:lineRule="auto"/>
        <w:jc w:val="center"/>
        <w:rPr>
          <w:rFonts w:ascii="黑体" w:hAnsi="黑体" w:eastAsia="黑体"/>
          <w:sz w:val="28"/>
          <w:szCs w:val="28"/>
        </w:rPr>
      </w:pPr>
      <w:bookmarkStart w:id="53" w:name="_Toc19720"/>
      <w:bookmarkStart w:id="54" w:name="_Toc32470"/>
      <w:bookmarkStart w:id="55" w:name="_Toc35446163"/>
      <w:bookmarkStart w:id="56" w:name="_Toc27991"/>
      <w:bookmarkStart w:id="57" w:name="_Toc15288"/>
      <w:bookmarkStart w:id="58" w:name="_Toc4529"/>
      <w:r>
        <w:rPr>
          <w:rFonts w:hint="eastAsia" w:ascii="黑体" w:hAnsi="黑体" w:eastAsia="黑体"/>
          <w:sz w:val="28"/>
          <w:szCs w:val="28"/>
        </w:rPr>
        <w:t>七、合同签订</w:t>
      </w:r>
      <w:bookmarkEnd w:id="53"/>
      <w:bookmarkEnd w:id="54"/>
      <w:bookmarkEnd w:id="55"/>
      <w:bookmarkEnd w:id="56"/>
      <w:bookmarkEnd w:id="57"/>
      <w:bookmarkEnd w:id="58"/>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31. 签订合同</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31.1采购人应自中标通知书发出之日起30日内，按中标通知书指定的时间、地点与中标人签订政府采购合同。所签订的合同不得对招标文件和投标文件作实质性修改。</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31.2招标文件、中标人的投标文件均为签订合同的依据。</w:t>
      </w:r>
    </w:p>
    <w:p>
      <w:pPr>
        <w:adjustRightInd w:val="0"/>
        <w:snapToGrid w:val="0"/>
        <w:spacing w:beforeLines="50" w:line="360" w:lineRule="auto"/>
        <w:ind w:firstLine="420" w:firstLineChars="20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szCs w:val="21"/>
        </w:rPr>
        <w:t>31.3联</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体</w:t>
      </w:r>
      <w:r>
        <w:rPr>
          <w:rFonts w:hint="eastAsia" w:cs="微软雅黑" w:asciiTheme="minorEastAsia" w:hAnsiTheme="minorEastAsia" w:eastAsiaTheme="minorEastAsia"/>
          <w:spacing w:val="-2"/>
          <w:kern w:val="0"/>
          <w:szCs w:val="21"/>
        </w:rPr>
        <w:t>中</w:t>
      </w:r>
      <w:r>
        <w:rPr>
          <w:rFonts w:hint="eastAsia" w:cs="微软雅黑" w:asciiTheme="minorEastAsia" w:hAnsiTheme="minorEastAsia" w:eastAsiaTheme="minorEastAsia"/>
          <w:kern w:val="0"/>
          <w:szCs w:val="21"/>
        </w:rPr>
        <w:t>标的</w:t>
      </w:r>
      <w:r>
        <w:rPr>
          <w:rFonts w:hint="eastAsia" w:cs="微软雅黑" w:asciiTheme="minorEastAsia" w:hAnsiTheme="minorEastAsia" w:eastAsiaTheme="minorEastAsia"/>
          <w:spacing w:val="-14"/>
          <w:kern w:val="0"/>
          <w:szCs w:val="21"/>
        </w:rPr>
        <w:t>，</w:t>
      </w:r>
      <w:r>
        <w:rPr>
          <w:rFonts w:hint="eastAsia" w:cs="微软雅黑" w:asciiTheme="minorEastAsia" w:hAnsiTheme="minorEastAsia" w:eastAsiaTheme="minorEastAsia"/>
          <w:kern w:val="0"/>
          <w:szCs w:val="21"/>
        </w:rPr>
        <w:t>联</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体各</w:t>
      </w:r>
      <w:r>
        <w:rPr>
          <w:rFonts w:hint="eastAsia" w:cs="微软雅黑" w:asciiTheme="minorEastAsia" w:hAnsiTheme="minorEastAsia" w:eastAsiaTheme="minorEastAsia"/>
          <w:spacing w:val="-2"/>
          <w:kern w:val="0"/>
          <w:szCs w:val="21"/>
        </w:rPr>
        <w:t>方</w:t>
      </w:r>
      <w:r>
        <w:rPr>
          <w:rFonts w:hint="eastAsia" w:cs="微软雅黑" w:asciiTheme="minorEastAsia" w:hAnsiTheme="minorEastAsia" w:eastAsiaTheme="minorEastAsia"/>
          <w:kern w:val="0"/>
          <w:szCs w:val="21"/>
        </w:rPr>
        <w:t>应</w:t>
      </w:r>
      <w:r>
        <w:rPr>
          <w:rFonts w:hint="eastAsia" w:cs="微软雅黑" w:asciiTheme="minorEastAsia" w:hAnsiTheme="minorEastAsia" w:eastAsiaTheme="minorEastAsia"/>
          <w:spacing w:val="-2"/>
          <w:kern w:val="0"/>
          <w:szCs w:val="21"/>
        </w:rPr>
        <w:t>当</w:t>
      </w:r>
      <w:r>
        <w:rPr>
          <w:rFonts w:hint="eastAsia" w:cs="微软雅黑" w:asciiTheme="minorEastAsia" w:hAnsiTheme="minorEastAsia" w:eastAsiaTheme="minorEastAsia"/>
          <w:kern w:val="0"/>
          <w:szCs w:val="21"/>
        </w:rPr>
        <w:t>共</w:t>
      </w:r>
      <w:r>
        <w:rPr>
          <w:rFonts w:hint="eastAsia" w:cs="微软雅黑" w:asciiTheme="minorEastAsia" w:hAnsiTheme="minorEastAsia" w:eastAsiaTheme="minorEastAsia"/>
          <w:spacing w:val="-2"/>
          <w:kern w:val="0"/>
          <w:szCs w:val="21"/>
        </w:rPr>
        <w:t>同</w:t>
      </w:r>
      <w:r>
        <w:rPr>
          <w:rFonts w:hint="eastAsia" w:cs="微软雅黑" w:asciiTheme="minorEastAsia" w:hAnsiTheme="minorEastAsia" w:eastAsiaTheme="minorEastAsia"/>
          <w:kern w:val="0"/>
          <w:szCs w:val="21"/>
        </w:rPr>
        <w:t>与</w:t>
      </w:r>
      <w:r>
        <w:rPr>
          <w:rFonts w:hint="eastAsia" w:cs="微软雅黑" w:asciiTheme="minorEastAsia" w:hAnsiTheme="minorEastAsia" w:eastAsiaTheme="minorEastAsia"/>
          <w:spacing w:val="-2"/>
          <w:kern w:val="0"/>
          <w:szCs w:val="21"/>
        </w:rPr>
        <w:t>采购人</w:t>
      </w:r>
      <w:r>
        <w:rPr>
          <w:rFonts w:hint="eastAsia" w:cs="微软雅黑" w:asciiTheme="minorEastAsia" w:hAnsiTheme="minorEastAsia" w:eastAsiaTheme="minorEastAsia"/>
          <w:kern w:val="0"/>
          <w:szCs w:val="21"/>
        </w:rPr>
        <w:t>签订</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同</w:t>
      </w:r>
      <w:r>
        <w:rPr>
          <w:rFonts w:hint="eastAsia" w:cs="微软雅黑" w:asciiTheme="minorEastAsia" w:hAnsiTheme="minorEastAsia" w:eastAsiaTheme="minorEastAsia"/>
          <w:spacing w:val="-14"/>
          <w:kern w:val="0"/>
          <w:szCs w:val="21"/>
        </w:rPr>
        <w:t>，</w:t>
      </w:r>
      <w:r>
        <w:rPr>
          <w:rFonts w:hint="eastAsia" w:cs="微软雅黑" w:asciiTheme="minorEastAsia" w:hAnsiTheme="minorEastAsia" w:eastAsiaTheme="minorEastAsia"/>
          <w:kern w:val="0"/>
          <w:szCs w:val="21"/>
        </w:rPr>
        <w:t>就</w:t>
      </w:r>
      <w:r>
        <w:rPr>
          <w:rFonts w:hint="eastAsia" w:cs="微软雅黑" w:asciiTheme="minorEastAsia" w:hAnsiTheme="minorEastAsia" w:eastAsiaTheme="minorEastAsia"/>
          <w:spacing w:val="-2"/>
          <w:kern w:val="0"/>
          <w:szCs w:val="21"/>
        </w:rPr>
        <w:t>中</w:t>
      </w:r>
      <w:r>
        <w:rPr>
          <w:rFonts w:hint="eastAsia" w:cs="微软雅黑" w:asciiTheme="minorEastAsia" w:hAnsiTheme="minorEastAsia" w:eastAsiaTheme="minorEastAsia"/>
          <w:kern w:val="0"/>
          <w:szCs w:val="21"/>
        </w:rPr>
        <w:t>标</w:t>
      </w:r>
      <w:r>
        <w:rPr>
          <w:rFonts w:hint="eastAsia" w:cs="微软雅黑" w:asciiTheme="minorEastAsia" w:hAnsiTheme="minorEastAsia" w:eastAsiaTheme="minorEastAsia"/>
          <w:spacing w:val="-2"/>
          <w:kern w:val="0"/>
          <w:szCs w:val="21"/>
        </w:rPr>
        <w:t>项</w:t>
      </w:r>
      <w:r>
        <w:rPr>
          <w:rFonts w:hint="eastAsia" w:cs="微软雅黑" w:asciiTheme="minorEastAsia" w:hAnsiTheme="minorEastAsia" w:eastAsiaTheme="minorEastAsia"/>
          <w:kern w:val="0"/>
          <w:szCs w:val="21"/>
        </w:rPr>
        <w:t>目</w:t>
      </w:r>
      <w:r>
        <w:rPr>
          <w:rFonts w:hint="eastAsia" w:cs="微软雅黑" w:asciiTheme="minorEastAsia" w:hAnsiTheme="minorEastAsia" w:eastAsiaTheme="minorEastAsia"/>
          <w:spacing w:val="-2"/>
          <w:kern w:val="0"/>
          <w:szCs w:val="21"/>
        </w:rPr>
        <w:t>向</w:t>
      </w:r>
      <w:r>
        <w:rPr>
          <w:rFonts w:hint="eastAsia" w:cs="微软雅黑" w:asciiTheme="minorEastAsia" w:hAnsiTheme="minorEastAsia" w:eastAsiaTheme="minorEastAsia"/>
          <w:kern w:val="0"/>
          <w:szCs w:val="21"/>
        </w:rPr>
        <w:t>采购人承</w:t>
      </w:r>
      <w:r>
        <w:rPr>
          <w:rFonts w:hint="eastAsia" w:cs="微软雅黑" w:asciiTheme="minorEastAsia" w:hAnsiTheme="minorEastAsia" w:eastAsiaTheme="minorEastAsia"/>
          <w:spacing w:val="-2"/>
          <w:kern w:val="0"/>
          <w:szCs w:val="21"/>
        </w:rPr>
        <w:t>担</w:t>
      </w:r>
      <w:r>
        <w:rPr>
          <w:rFonts w:hint="eastAsia" w:cs="微软雅黑" w:asciiTheme="minorEastAsia" w:hAnsiTheme="minorEastAsia" w:eastAsiaTheme="minorEastAsia"/>
          <w:kern w:val="0"/>
          <w:szCs w:val="21"/>
        </w:rPr>
        <w:t>连带责</w:t>
      </w:r>
      <w:r>
        <w:rPr>
          <w:rFonts w:hint="eastAsia" w:cs="微软雅黑" w:asciiTheme="minorEastAsia" w:hAnsiTheme="minorEastAsia" w:eastAsiaTheme="minorEastAsia"/>
          <w:spacing w:val="-2"/>
          <w:kern w:val="0"/>
          <w:szCs w:val="21"/>
        </w:rPr>
        <w:t>任</w:t>
      </w:r>
      <w:r>
        <w:rPr>
          <w:rFonts w:hint="eastAsia" w:cs="微软雅黑" w:asciiTheme="minorEastAsia" w:hAnsiTheme="minorEastAsia" w:eastAsiaTheme="minorEastAsia"/>
          <w:kern w:val="0"/>
          <w:szCs w:val="21"/>
        </w:rPr>
        <w:t>。</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31.4</w:t>
      </w:r>
      <w:r>
        <w:rPr>
          <w:rFonts w:hint="eastAsia" w:asciiTheme="minorEastAsia" w:hAnsiTheme="minorEastAsia" w:eastAsiaTheme="minorEastAsia"/>
          <w:szCs w:val="21"/>
        </w:rPr>
        <w:t>中标合同将在法定的媒体上公告，但合同中涉及国家秘密、商业秘密的内容除外。</w:t>
      </w:r>
    </w:p>
    <w:p>
      <w:pPr>
        <w:adjustRightInd w:val="0"/>
        <w:snapToGrid w:val="0"/>
        <w:spacing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31.5中标人</w:t>
      </w:r>
      <w:r>
        <w:rPr>
          <w:rFonts w:hint="eastAsia" w:asciiTheme="minorEastAsia" w:hAnsiTheme="minorEastAsia" w:eastAsiaTheme="minorEastAsia"/>
          <w:bCs/>
          <w:szCs w:val="21"/>
        </w:rPr>
        <w:t>应当按照合同约定依法履行合同义务。政府采购合同的履行、违约责任和解决争议的方法等适用《中华人民共和国合同法》。</w:t>
      </w:r>
    </w:p>
    <w:p>
      <w:pPr>
        <w:adjustRightInd w:val="0"/>
        <w:snapToGrid w:val="0"/>
        <w:spacing w:beforeLines="50" w:line="360" w:lineRule="auto"/>
        <w:jc w:val="left"/>
        <w:rPr>
          <w:rFonts w:cs="宋体" w:asciiTheme="minorEastAsia" w:hAnsiTheme="minorEastAsia" w:eastAsiaTheme="minorEastAsia"/>
          <w:b/>
          <w:kern w:val="0"/>
          <w:sz w:val="24"/>
        </w:rPr>
      </w:pPr>
      <w:r>
        <w:rPr>
          <w:rFonts w:hint="eastAsia" w:asciiTheme="minorEastAsia" w:hAnsiTheme="minorEastAsia" w:eastAsiaTheme="minorEastAsia"/>
          <w:b/>
          <w:bCs/>
          <w:sz w:val="24"/>
        </w:rPr>
        <w:t>32.</w:t>
      </w:r>
      <w:r>
        <w:rPr>
          <w:rFonts w:hint="eastAsia" w:cs="宋体" w:asciiTheme="minorEastAsia" w:hAnsiTheme="minorEastAsia" w:eastAsiaTheme="minorEastAsia"/>
          <w:b/>
          <w:kern w:val="0"/>
          <w:sz w:val="24"/>
        </w:rPr>
        <w:t xml:space="preserve"> 履约担保</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32.1</w:t>
      </w:r>
      <w:r>
        <w:rPr>
          <w:rFonts w:hint="eastAsia" w:asciiTheme="minorEastAsia" w:hAnsiTheme="minorEastAsia" w:eastAsiaTheme="minorEastAsia"/>
          <w:szCs w:val="21"/>
        </w:rPr>
        <w:t>中标人在收到采购代理机构的《中标通知书》后10日内，</w:t>
      </w:r>
      <w:r>
        <w:rPr>
          <w:rFonts w:hint="eastAsia" w:asciiTheme="minorEastAsia" w:hAnsiTheme="minorEastAsia" w:eastAsiaTheme="minorEastAsia"/>
          <w:b/>
          <w:szCs w:val="21"/>
        </w:rPr>
        <w:t>【投标须知前附表】</w:t>
      </w:r>
      <w:r>
        <w:rPr>
          <w:rFonts w:hint="eastAsia" w:asciiTheme="minorEastAsia" w:hAnsiTheme="minorEastAsia" w:eastAsiaTheme="minorEastAsia"/>
          <w:bCs/>
          <w:szCs w:val="21"/>
        </w:rPr>
        <w:t>规定</w:t>
      </w:r>
      <w:r>
        <w:rPr>
          <w:rFonts w:hint="eastAsia" w:asciiTheme="minorEastAsia" w:hAnsiTheme="minorEastAsia" w:eastAsiaTheme="minorEastAsia"/>
          <w:szCs w:val="21"/>
        </w:rPr>
        <w:t>需向采购人提交履约担保的，应按照</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的规定提交。联合体中标的，履约担保由联合体各方或联合体中牵头人的名义提交。</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32.2中标人</w:t>
      </w:r>
      <w:r>
        <w:rPr>
          <w:rFonts w:hint="eastAsia" w:asciiTheme="minorEastAsia" w:hAnsiTheme="minorEastAsia" w:eastAsiaTheme="minorEastAsia"/>
          <w:spacing w:val="4"/>
          <w:szCs w:val="21"/>
        </w:rPr>
        <w:t>没有按照本章第32.1</w:t>
      </w:r>
      <w:r>
        <w:rPr>
          <w:rFonts w:hint="eastAsia" w:cs="宋体" w:asciiTheme="minorEastAsia" w:hAnsiTheme="minorEastAsia" w:eastAsiaTheme="minorEastAsia"/>
          <w:kern w:val="0"/>
          <w:szCs w:val="21"/>
          <w:lang w:val="zh-CN"/>
        </w:rPr>
        <w:t>款</w:t>
      </w:r>
      <w:r>
        <w:rPr>
          <w:rFonts w:hint="eastAsia" w:asciiTheme="minorEastAsia" w:hAnsiTheme="minorEastAsia" w:eastAsiaTheme="minorEastAsia"/>
          <w:spacing w:val="4"/>
          <w:szCs w:val="21"/>
        </w:rPr>
        <w:t>规定</w:t>
      </w:r>
      <w:r>
        <w:rPr>
          <w:rFonts w:hint="eastAsia" w:asciiTheme="minorEastAsia" w:hAnsiTheme="minorEastAsia" w:eastAsiaTheme="minorEastAsia"/>
          <w:szCs w:val="21"/>
        </w:rPr>
        <w:t>提交履约担保的</w:t>
      </w:r>
      <w:r>
        <w:rPr>
          <w:rFonts w:hint="eastAsia" w:asciiTheme="minorEastAsia" w:hAnsiTheme="minorEastAsia" w:eastAsiaTheme="minorEastAsia"/>
          <w:spacing w:val="4"/>
          <w:szCs w:val="21"/>
        </w:rPr>
        <w:t>，视为放弃中标，</w:t>
      </w:r>
      <w:r>
        <w:rPr>
          <w:rFonts w:hint="eastAsia" w:asciiTheme="minorEastAsia" w:hAnsiTheme="minorEastAsia" w:eastAsiaTheme="minorEastAsia"/>
          <w:spacing w:val="2"/>
          <w:szCs w:val="21"/>
        </w:rPr>
        <w:t>其投标保证金不予退还。</w:t>
      </w:r>
    </w:p>
    <w:p>
      <w:pPr>
        <w:adjustRightInd w:val="0"/>
        <w:snapToGrid w:val="0"/>
        <w:spacing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33.</w:t>
      </w:r>
      <w:r>
        <w:rPr>
          <w:rFonts w:hint="eastAsia" w:asciiTheme="minorEastAsia" w:hAnsiTheme="minorEastAsia" w:eastAsiaTheme="minorEastAsia"/>
          <w:b/>
          <w:sz w:val="24"/>
        </w:rPr>
        <w:t xml:space="preserve"> 政府采购合同履行中</w:t>
      </w:r>
      <w:r>
        <w:rPr>
          <w:rFonts w:hint="eastAsia" w:asciiTheme="minorEastAsia" w:hAnsiTheme="minorEastAsia" w:eastAsiaTheme="minorEastAsia"/>
          <w:b/>
          <w:bCs/>
          <w:sz w:val="24"/>
        </w:rPr>
        <w:t>数量的变更</w:t>
      </w:r>
    </w:p>
    <w:p>
      <w:pPr>
        <w:adjustRightInd w:val="0"/>
        <w:snapToGrid w:val="0"/>
        <w:spacing w:beforeLines="50" w:line="360" w:lineRule="auto"/>
        <w:ind w:firstLine="420" w:firstLineChars="200"/>
        <w:jc w:val="left"/>
        <w:rPr>
          <w:rFonts w:asciiTheme="minorEastAsia" w:hAnsiTheme="minorEastAsia" w:eastAsiaTheme="minorEastAsia"/>
          <w:sz w:val="28"/>
          <w:szCs w:val="28"/>
        </w:rPr>
      </w:pPr>
      <w:r>
        <w:rPr>
          <w:rFonts w:hint="eastAsia" w:asciiTheme="minorEastAsia" w:hAnsiTheme="minorEastAsia" w:eastAsiaTheme="minorEastAsia"/>
        </w:rPr>
        <w:t>33.1政府采购合同履行中，采购人需追加与合同标的相同的货物服务的，在不改变合同其他条款的前提下，可以与中标人协商签订补充合同，但补充合同的采购金额不得超过原合同采购金额的百分之十。</w:t>
      </w:r>
    </w:p>
    <w:p>
      <w:pPr>
        <w:pStyle w:val="9"/>
        <w:adjustRightInd w:val="0"/>
        <w:snapToGrid w:val="0"/>
        <w:spacing w:beforeLines="50" w:after="0" w:line="360" w:lineRule="auto"/>
        <w:jc w:val="center"/>
        <w:rPr>
          <w:rFonts w:ascii="黑体" w:hAnsi="黑体" w:eastAsia="黑体"/>
          <w:sz w:val="28"/>
          <w:szCs w:val="28"/>
        </w:rPr>
      </w:pPr>
      <w:bookmarkStart w:id="59" w:name="_Toc10014"/>
      <w:bookmarkStart w:id="60" w:name="_Toc35446164"/>
      <w:bookmarkStart w:id="61" w:name="_Toc17856"/>
      <w:bookmarkStart w:id="62" w:name="_Toc15042"/>
      <w:bookmarkStart w:id="63" w:name="_Toc26481"/>
      <w:bookmarkStart w:id="64" w:name="_Toc2171"/>
      <w:r>
        <w:rPr>
          <w:rFonts w:hint="eastAsia" w:ascii="黑体" w:hAnsi="黑体" w:eastAsia="黑体"/>
          <w:sz w:val="28"/>
          <w:szCs w:val="28"/>
        </w:rPr>
        <w:t>八、其他规定</w:t>
      </w:r>
      <w:bookmarkEnd w:id="59"/>
      <w:bookmarkEnd w:id="60"/>
      <w:bookmarkEnd w:id="61"/>
      <w:bookmarkEnd w:id="62"/>
      <w:bookmarkEnd w:id="63"/>
      <w:bookmarkEnd w:id="64"/>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34.</w:t>
      </w:r>
      <w:r>
        <w:rPr>
          <w:rFonts w:hint="eastAsia" w:asciiTheme="minorEastAsia" w:hAnsiTheme="minorEastAsia" w:eastAsiaTheme="minorEastAsia"/>
          <w:b/>
          <w:sz w:val="24"/>
        </w:rPr>
        <w:t>政府采购政策</w:t>
      </w:r>
    </w:p>
    <w:p>
      <w:pPr>
        <w:adjustRightInd w:val="0"/>
        <w:snapToGrid w:val="0"/>
        <w:spacing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34.1优先采购：</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szCs w:val="21"/>
        </w:rPr>
        <w:t>纳入财政部会同国务院有关部门发布的节能产品、环境标志产品政府采购品目清单，实施政府优先采购的，评审时按相应评标方法给予价格折扣或者加分；</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（2）纳入湖南省财政厅等有关部门发布的湖南省两型产品政府采购目录的，实施政府优先采购，评审时按相应评标方法给予价格折扣或者加分。</w:t>
      </w:r>
    </w:p>
    <w:p>
      <w:pPr>
        <w:adjustRightInd w:val="0"/>
        <w:snapToGrid w:val="0"/>
        <w:spacing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34.2强制采购：</w:t>
      </w:r>
    </w:p>
    <w:p>
      <w:pPr>
        <w:adjustRightInd w:val="0"/>
        <w:snapToGrid w:val="0"/>
        <w:spacing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（1）纳入财政部会同国务院有关部门发布的节能产品政府采购品目清单，实施政府强制采购的（品目清单标注</w:t>
      </w:r>
      <w:r>
        <w:rPr>
          <w:rFonts w:hint="eastAsia" w:cs="宋体" w:asciiTheme="minorEastAsia" w:hAnsiTheme="minorEastAsia" w:eastAsiaTheme="minorEastAsia"/>
          <w:kern w:val="0"/>
        </w:rPr>
        <w:sym w:font="Wingdings" w:char="F0AB"/>
      </w:r>
      <w:r>
        <w:rPr>
          <w:rFonts w:hint="eastAsia" w:cs="宋体" w:asciiTheme="minorEastAsia" w:hAnsiTheme="minorEastAsia" w:eastAsiaTheme="minorEastAsia"/>
          <w:kern w:val="0"/>
        </w:rPr>
        <w:t>符号产品），投标人投标产品应当取得国家确定的认证机构出具的、处于有效期之内的节能产品认证证书，否则，其</w:t>
      </w:r>
      <w:r>
        <w:rPr>
          <w:rFonts w:hint="eastAsia" w:cs="宋体" w:asciiTheme="minorEastAsia" w:hAnsiTheme="minorEastAsia" w:eastAsiaTheme="minorEastAsia"/>
          <w:kern w:val="0"/>
          <w:szCs w:val="21"/>
        </w:rPr>
        <w:t>投标无效</w:t>
      </w:r>
      <w:r>
        <w:rPr>
          <w:rFonts w:hint="eastAsia" w:cs="宋体" w:asciiTheme="minorEastAsia" w:hAnsiTheme="minorEastAsia" w:eastAsiaTheme="minorEastAsia"/>
          <w:kern w:val="0"/>
        </w:rPr>
        <w:t>。</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34.3价格评审优惠：</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（1）投标人为小型、微型企业，且提供本企业生产的产品或者提供其他小型、微型企业生产的产品，投标价格给予一定的价格折扣，用扣除后的价格参与评审；</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（2）小型、微型企业参加联合体投标并在联合体协议中明确其在合同金额占联合体合同总金额 30%以上的，给予该联合体投标价格给予一定的价格折扣，用扣除后的价格参与评审，联合体各方均为小型、微型企业的，联合体视同为小型、微型企业； </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（3）监狱企业、残</w:t>
      </w:r>
      <w:r>
        <w:rPr>
          <w:rFonts w:hint="eastAsia" w:asciiTheme="minorEastAsia" w:hAnsiTheme="minorEastAsia" w:eastAsiaTheme="minorEastAsia"/>
          <w:szCs w:val="21"/>
        </w:rPr>
        <w:t>疾人福利性单位视同小型、微型企业，享受评审中价格扣除等促进中小企业发展的政府采购政策。</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33.4政府采购政策交叉与叠加</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（1）优先采购同时属于“节能产品”、“环境标志产品”及“两型产品”的，评审时只有其中一项产品能享受优先采购优惠（投标人自行选择，并在投标文件中并填报相关信息及数据）；</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（2）监狱企业、残疾人福利性单位同时属于小型、微型企业的，不重复享受价格评审优惠政策；</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（3）小型和微型企业的价格评审优惠可以与同时属于“节能产品”、“环境标志产品”及“两型产品”中的一项优先采购优惠累加计算。</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34.5部分投标产品属于优先采购的，以及小型和微型企业的投标人代理部分小型和微型企业产品的，评审时只对该部分产品的报价实行价格扣除及加分。投标人应按本章第34.6款规定提供相关证明资料，并按第六章第三节“投标分项价格表”格式提供相关报价。</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34.6投标人符合本章第34.1款、第34.2款、第34.3款规定的，应提供相关证明资料。</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（1）节能产品、环境标志产品：提供国家确定的认证机构出具的、处于有效期之内的节能产品、环境标志产品认证证书（复印件）。</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（2）两型产品：提供《湖南省两型产品政府采购目录》（最新一期）文件首页和投标产品所在页（截图）。</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（3）小微企业：按《关于印发＜政府采购促进中小企业发展暂行办法＞的通知》(财库[2011]181号)规定，投标人和提供货物的制造商同时提供《小型、微型企业声明函》（格式）。</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（4）监狱企业：按《关于政府采购支持监狱企业发展有关问题的通知》(财库〔2014〕68号)文件规定提供证明文件（复印件）。</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（5）残疾人福利性单位：按《关于促进残疾人就业政府采购政策的通知》(财库〔2017〕141号)文件规定提供《残疾人福利性单位声明函》（格式）。</w:t>
      </w:r>
    </w:p>
    <w:p>
      <w:pPr>
        <w:adjustRightInd w:val="0"/>
        <w:snapToGrid w:val="0"/>
        <w:spacing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34.7投标人有融资、担保需求的，可登陆衡阳市政府采购网查询相关银行、担保机构业务。</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35.</w:t>
      </w:r>
      <w:r>
        <w:rPr>
          <w:rFonts w:hint="eastAsia" w:asciiTheme="minorEastAsia" w:hAnsiTheme="minorEastAsia" w:eastAsiaTheme="minorEastAsia"/>
          <w:b/>
          <w:sz w:val="24"/>
        </w:rPr>
        <w:t>招标不足三家处理</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35.1公开招标数额标准以上的采购项目，投标截止后投标人不足3家或者通过资格审查或符合性审查的投标人不足3家的，除采购任务取消情形外，按照以下方式处理：</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（1）招标文件存在不合理条款或者招标程序不符合规定的，采购人或者采购代理机构改正后依法重新招标；</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（2）招标文件没有不合理条款、招标程序符合规定，需要采用其他采购方式采购的，采购人应当依法报财政部门批准。</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35.2</w:t>
      </w:r>
      <w:r>
        <w:rPr>
          <w:rFonts w:hint="eastAsia" w:asciiTheme="minorEastAsia" w:hAnsiTheme="minorEastAsia"/>
          <w:szCs w:val="21"/>
        </w:rPr>
        <w:t>属上款第（2）项情形的，评标委员会应出具</w:t>
      </w:r>
      <w:r>
        <w:rPr>
          <w:rFonts w:hint="eastAsia" w:asciiTheme="minorEastAsia" w:hAnsiTheme="minorEastAsia"/>
          <w:strike/>
          <w:szCs w:val="21"/>
        </w:rPr>
        <w:t>的</w:t>
      </w:r>
      <w:r>
        <w:rPr>
          <w:rFonts w:hint="eastAsia" w:asciiTheme="minorEastAsia" w:hAnsiTheme="minorEastAsia"/>
          <w:szCs w:val="21"/>
        </w:rPr>
        <w:t>招标文件没有不合理条款的论证意见</w:t>
      </w:r>
      <w:r>
        <w:rPr>
          <w:rFonts w:hint="eastAsia" w:asciiTheme="minorEastAsia" w:hAnsiTheme="minorEastAsia" w:eastAsiaTheme="minorEastAsia"/>
          <w:szCs w:val="21"/>
        </w:rPr>
        <w:t>。</w:t>
      </w:r>
    </w:p>
    <w:p>
      <w:pPr>
        <w:adjustRightInd w:val="0"/>
        <w:snapToGrid w:val="0"/>
        <w:spacing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36.</w:t>
      </w:r>
      <w:r>
        <w:rPr>
          <w:rFonts w:hint="eastAsia" w:asciiTheme="minorEastAsia" w:hAnsiTheme="minorEastAsia" w:eastAsiaTheme="minorEastAsia"/>
          <w:b/>
          <w:sz w:val="24"/>
        </w:rPr>
        <w:t xml:space="preserve"> 招标代理服务费</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36.1招标代理服务费由中标人支付的，投标人应按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规定向采购代理机构交纳招标代理服务费，并在投标文件中提供招标代理服务费承诺书。</w:t>
      </w:r>
    </w:p>
    <w:p>
      <w:pPr>
        <w:adjustRightInd w:val="0"/>
        <w:snapToGrid w:val="0"/>
        <w:spacing w:beforeLines="50" w:line="360" w:lineRule="auto"/>
        <w:jc w:val="left"/>
        <w:rPr>
          <w:rFonts w:asciiTheme="minorEastAsia" w:hAnsiTheme="minorEastAsia" w:eastAsiaTheme="minorEastAsia"/>
          <w:b/>
          <w:sz w:val="24"/>
        </w:rPr>
      </w:pPr>
      <w:r>
        <w:rPr>
          <w:rFonts w:hint="eastAsia" w:cs="宋体" w:asciiTheme="minorEastAsia" w:hAnsiTheme="minorEastAsia" w:eastAsiaTheme="minorEastAsia"/>
          <w:b/>
          <w:kern w:val="0"/>
          <w:sz w:val="24"/>
        </w:rPr>
        <w:t>37.</w:t>
      </w:r>
      <w:r>
        <w:rPr>
          <w:rFonts w:hint="eastAsia" w:asciiTheme="minorEastAsia" w:hAnsiTheme="minorEastAsia" w:eastAsiaTheme="minorEastAsia"/>
          <w:b/>
          <w:sz w:val="24"/>
        </w:rPr>
        <w:t xml:space="preserve"> 需要补充的其他内容</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37.1招标文件需要补充的其</w:t>
      </w:r>
      <w:r>
        <w:rPr>
          <w:rFonts w:hint="eastAsia" w:asciiTheme="minorEastAsia" w:hAnsiTheme="minorEastAsia" w:eastAsiaTheme="minorEastAsia"/>
          <w:szCs w:val="21"/>
        </w:rPr>
        <w:t>他内容见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pStyle w:val="7"/>
        <w:numPr>
          <w:ilvl w:val="0"/>
          <w:numId w:val="0"/>
        </w:numPr>
        <w:rPr>
          <w:rFonts w:hint="eastAsia" w:ascii="黑体" w:hAnsi="黑体" w:eastAsia="黑体"/>
          <w:sz w:val="32"/>
          <w:szCs w:val="32"/>
        </w:rPr>
      </w:pPr>
      <w:bookmarkStart w:id="65" w:name="_Toc35446165"/>
    </w:p>
    <w:p>
      <w:pPr>
        <w:pStyle w:val="7"/>
        <w:numPr>
          <w:ilvl w:val="0"/>
          <w:numId w:val="0"/>
        </w:numPr>
        <w:jc w:val="center"/>
        <w:rPr>
          <w:rFonts w:hint="eastAsia" w:ascii="黑体" w:hAnsi="黑体" w:eastAsia="黑体"/>
          <w:sz w:val="32"/>
          <w:szCs w:val="32"/>
        </w:rPr>
        <w:sectPr>
          <w:pgSz w:w="11906" w:h="16838"/>
          <w:pgMar w:top="1020" w:right="1587" w:bottom="1191" w:left="1587" w:header="851" w:footer="992" w:gutter="0"/>
          <w:pgNumType w:fmt="numberInDash"/>
          <w:cols w:space="0" w:num="1"/>
          <w:docGrid w:type="lines" w:linePitch="312" w:charSpace="0"/>
        </w:sectPr>
      </w:pPr>
    </w:p>
    <w:p>
      <w:pPr>
        <w:pStyle w:val="7"/>
        <w:numPr>
          <w:ilvl w:val="0"/>
          <w:numId w:val="0"/>
        </w:numPr>
        <w:jc w:val="center"/>
        <w:rPr>
          <w:rFonts w:ascii="黑体" w:hAnsi="黑体" w:eastAsia="黑体"/>
          <w:sz w:val="32"/>
          <w:szCs w:val="32"/>
        </w:rPr>
      </w:pPr>
      <w:bookmarkStart w:id="66" w:name="_Toc31090"/>
      <w:bookmarkStart w:id="67" w:name="_Toc13105"/>
      <w:bookmarkStart w:id="68" w:name="_Toc29517"/>
      <w:bookmarkStart w:id="69" w:name="_Toc14855"/>
      <w:bookmarkStart w:id="70" w:name="_Toc1031"/>
      <w:r>
        <w:rPr>
          <w:rFonts w:hint="eastAsia" w:ascii="黑体" w:hAnsi="黑体" w:eastAsia="黑体"/>
          <w:sz w:val="32"/>
          <w:szCs w:val="32"/>
        </w:rPr>
        <w:t>第三章 资格审查</w:t>
      </w:r>
      <w:bookmarkEnd w:id="65"/>
      <w:bookmarkEnd w:id="66"/>
      <w:bookmarkEnd w:id="67"/>
      <w:bookmarkEnd w:id="68"/>
      <w:bookmarkEnd w:id="69"/>
      <w:bookmarkEnd w:id="70"/>
    </w:p>
    <w:p>
      <w:pPr>
        <w:pStyle w:val="9"/>
        <w:adjustRightInd w:val="0"/>
        <w:snapToGrid w:val="0"/>
        <w:spacing w:beforeLines="50" w:after="0" w:line="360" w:lineRule="auto"/>
        <w:rPr>
          <w:rFonts w:ascii="黑体" w:hAnsi="黑体" w:eastAsia="黑体"/>
          <w:sz w:val="24"/>
          <w:szCs w:val="24"/>
        </w:rPr>
      </w:pPr>
      <w:bookmarkStart w:id="71" w:name="_Toc20780"/>
      <w:bookmarkStart w:id="72" w:name="_Toc7615"/>
      <w:bookmarkStart w:id="73" w:name="_Toc5354"/>
      <w:bookmarkStart w:id="74" w:name="_Toc35446166"/>
      <w:bookmarkStart w:id="75" w:name="_Toc7168"/>
      <w:bookmarkStart w:id="76" w:name="_Toc9040"/>
      <w:r>
        <w:rPr>
          <w:rFonts w:hint="eastAsia" w:ascii="黑体" w:hAnsi="黑体" w:eastAsia="黑体"/>
          <w:sz w:val="24"/>
          <w:szCs w:val="24"/>
        </w:rPr>
        <w:t>1．资格审查主体</w:t>
      </w:r>
      <w:bookmarkEnd w:id="71"/>
      <w:bookmarkEnd w:id="72"/>
      <w:bookmarkEnd w:id="73"/>
      <w:bookmarkEnd w:id="74"/>
      <w:bookmarkEnd w:id="75"/>
      <w:bookmarkEnd w:id="76"/>
    </w:p>
    <w:p>
      <w:pPr>
        <w:adjustRightInd w:val="0"/>
        <w:snapToGrid w:val="0"/>
        <w:spacing w:beforeLines="50" w:line="360" w:lineRule="auto"/>
        <w:ind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1.1资格审查主体：采购人及采购代理机构负责资格审查。</w:t>
      </w:r>
    </w:p>
    <w:p>
      <w:pPr>
        <w:pStyle w:val="9"/>
        <w:adjustRightInd w:val="0"/>
        <w:snapToGrid w:val="0"/>
        <w:spacing w:beforeLines="50" w:after="0" w:line="360" w:lineRule="auto"/>
        <w:rPr>
          <w:rFonts w:ascii="黑体" w:hAnsi="黑体" w:eastAsia="黑体"/>
          <w:sz w:val="24"/>
          <w:szCs w:val="24"/>
        </w:rPr>
      </w:pPr>
      <w:bookmarkStart w:id="77" w:name="_Toc27500"/>
      <w:bookmarkStart w:id="78" w:name="_Toc35446167"/>
      <w:bookmarkStart w:id="79" w:name="_Toc6434"/>
      <w:bookmarkStart w:id="80" w:name="_Toc2636"/>
      <w:bookmarkStart w:id="81" w:name="_Toc22132"/>
      <w:bookmarkStart w:id="82" w:name="_Toc22617"/>
      <w:r>
        <w:rPr>
          <w:rFonts w:hint="eastAsia" w:ascii="黑体" w:hAnsi="黑体" w:eastAsia="黑体"/>
          <w:sz w:val="24"/>
          <w:szCs w:val="24"/>
        </w:rPr>
        <w:t>2．资格审查</w:t>
      </w:r>
      <w:bookmarkEnd w:id="77"/>
      <w:bookmarkEnd w:id="78"/>
      <w:bookmarkEnd w:id="79"/>
      <w:bookmarkEnd w:id="80"/>
      <w:bookmarkEnd w:id="81"/>
      <w:bookmarkEnd w:id="82"/>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2.1资格审查依据法律法规和招标文件的规定，对投标文件中的资格证明文件等进行审查，以确定投标人是否符合招标文件规定的资格条件。</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2.2除第二章第15.1款另有规定外，采购人及采购代理机构按附表1所列审查项目及审查标准，对投标人资格进行审查。</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2.3在资格审查时，投标人存在下列情况之一的，资格审查不合格，其投标无效：</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（1）不具备招标文件中规定的资格要求的，或提交的资格证明文件不符合招标文件要求的；</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（2）联合体投标未提交联合体协议书，或未提交联合体各方资格证明文件的；</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（3）投标文件的资格证明文件未按照招标文件要求签署、盖章的；</w:t>
      </w:r>
    </w:p>
    <w:p>
      <w:pPr>
        <w:adjustRightInd w:val="0"/>
        <w:snapToGrid w:val="0"/>
        <w:spacing w:beforeLines="50" w:line="360" w:lineRule="auto"/>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（4）未按照招标文件的规定提交投标保证金的</w:t>
      </w:r>
      <w:r>
        <w:rPr>
          <w:rFonts w:hint="eastAsia" w:asciiTheme="minorEastAsia" w:hAnsiTheme="minorEastAsia" w:eastAsiaTheme="minorEastAsia"/>
          <w:szCs w:val="21"/>
          <w:lang w:eastAsia="zh-CN"/>
        </w:rPr>
        <w:t>；</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（5）投标报价超过招标文件中规定的预算金额或者最高限价的；</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（6）法律、法规和招标文件规定的其他投标无效情形的。</w:t>
      </w:r>
    </w:p>
    <w:p>
      <w:pPr>
        <w:adjustRightInd w:val="0"/>
        <w:snapToGrid w:val="0"/>
        <w:spacing w:beforeLines="50" w:line="360" w:lineRule="auto"/>
        <w:ind w:firstLine="420" w:firstLineChars="200"/>
        <w:jc w:val="left"/>
        <w:rPr>
          <w:rFonts w:asciiTheme="minorEastAsia" w:hAnsiTheme="minorEastAsia" w:eastAsiaTheme="minorEastAsia"/>
          <w:b/>
          <w:sz w:val="32"/>
          <w:szCs w:val="32"/>
        </w:rPr>
      </w:pPr>
      <w:r>
        <w:rPr>
          <w:rFonts w:hint="eastAsia" w:asciiTheme="minorEastAsia" w:hAnsiTheme="minorEastAsia" w:eastAsiaTheme="minorEastAsia"/>
        </w:rPr>
        <w:t>2.4信用记录。开标结束后</w:t>
      </w:r>
      <w:r>
        <w:rPr>
          <w:rFonts w:hint="eastAsia" w:asciiTheme="minorEastAsia" w:hAnsiTheme="minorEastAsia" w:eastAsiaTheme="minorEastAsia"/>
          <w:szCs w:val="21"/>
        </w:rPr>
        <w:t>资格审查时，采购人及采购代理机构将对投标人信用记录进行甄别。</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（1）信用信息查询的查询渠道：信用中国网（www.creditchina.gov.cn）、中国政府采购网（www.ccgp.gov.cn）；</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良信用记录是指：投标人在“信用中国”网站被列入失信被执行人和重大税收违法案件当事人名单，或在“中国政府采购网”网站被列入政府采购严重违法失信行为记录名单。投标人有上述不良信用记录的，其投标无效，其中，列入政府采购严重违法失信行为记录名单的，按处罚结果执行。</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（3）联合体形式投标的，联合体成员存在不良信用记录的，视同联合体存在不良信用记录。</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（4）信用信息查询记录和证据留存具体方式：</w:t>
      </w:r>
      <w:r>
        <w:rPr>
          <w:rFonts w:hint="eastAsia" w:ascii="宋体" w:hAnsi="宋体"/>
          <w:sz w:val="22"/>
          <w:szCs w:val="22"/>
        </w:rPr>
        <w:t>采购人及采购代理机构</w:t>
      </w:r>
      <w:r>
        <w:rPr>
          <w:rFonts w:ascii="宋体" w:hAnsi="宋体"/>
          <w:sz w:val="22"/>
          <w:szCs w:val="22"/>
        </w:rPr>
        <w:t>经办人将查询网页</w:t>
      </w:r>
      <w:r>
        <w:rPr>
          <w:rFonts w:hint="eastAsia" w:ascii="宋体" w:hAnsi="宋体"/>
          <w:sz w:val="22"/>
          <w:szCs w:val="22"/>
        </w:rPr>
        <w:t>截图、</w:t>
      </w:r>
      <w:r>
        <w:rPr>
          <w:rFonts w:ascii="宋体" w:hAnsi="宋体"/>
          <w:sz w:val="22"/>
          <w:szCs w:val="22"/>
        </w:rPr>
        <w:t>打印、签字</w:t>
      </w:r>
      <w:r>
        <w:rPr>
          <w:rFonts w:hint="eastAsia" w:ascii="宋体" w:hAnsi="宋体"/>
          <w:sz w:val="22"/>
          <w:szCs w:val="22"/>
        </w:rPr>
        <w:t>，作为查询记录和证据，与其他采购文件一并保存。</w:t>
      </w:r>
      <w:r>
        <w:rPr>
          <w:rFonts w:ascii="宋体" w:hAnsi="宋体"/>
          <w:sz w:val="22"/>
          <w:szCs w:val="22"/>
        </w:rPr>
        <w:t>投标人不良信用记录以</w:t>
      </w:r>
      <w:r>
        <w:rPr>
          <w:rFonts w:hint="eastAsia" w:ascii="宋体" w:hAnsi="宋体"/>
          <w:sz w:val="22"/>
          <w:szCs w:val="22"/>
        </w:rPr>
        <w:t>采购人及采购代理机构</w:t>
      </w:r>
      <w:r>
        <w:rPr>
          <w:rFonts w:ascii="宋体" w:hAnsi="宋体"/>
          <w:sz w:val="22"/>
          <w:szCs w:val="22"/>
        </w:rPr>
        <w:t>查询结果为准</w:t>
      </w:r>
      <w:r>
        <w:rPr>
          <w:rFonts w:hint="eastAsia" w:ascii="宋体" w:hAnsi="宋体"/>
          <w:sz w:val="22"/>
          <w:szCs w:val="22"/>
        </w:rPr>
        <w:t>。采购人及采购代理机构</w:t>
      </w:r>
      <w:r>
        <w:rPr>
          <w:rFonts w:ascii="宋体" w:hAnsi="宋体"/>
          <w:sz w:val="22"/>
          <w:szCs w:val="22"/>
        </w:rPr>
        <w:t>查询之后，</w:t>
      </w:r>
      <w:r>
        <w:rPr>
          <w:rFonts w:hint="eastAsia" w:ascii="宋体" w:hAnsi="宋体"/>
          <w:sz w:val="22"/>
          <w:szCs w:val="22"/>
        </w:rPr>
        <w:t>本章指定</w:t>
      </w:r>
      <w:r>
        <w:rPr>
          <w:rFonts w:ascii="宋体" w:hAnsi="宋体"/>
          <w:sz w:val="22"/>
          <w:szCs w:val="22"/>
        </w:rPr>
        <w:t>网站信息发生的任何变更均不再作为</w:t>
      </w:r>
      <w:r>
        <w:rPr>
          <w:rFonts w:hint="eastAsia" w:ascii="宋体" w:hAnsi="宋体"/>
          <w:sz w:val="22"/>
          <w:szCs w:val="22"/>
        </w:rPr>
        <w:t>资格审查</w:t>
      </w:r>
      <w:r>
        <w:rPr>
          <w:rFonts w:ascii="宋体" w:hAnsi="宋体"/>
          <w:sz w:val="22"/>
          <w:szCs w:val="22"/>
        </w:rPr>
        <w:t>依据，投标人自行提供的与</w:t>
      </w:r>
      <w:r>
        <w:rPr>
          <w:rFonts w:hint="eastAsia" w:ascii="宋体" w:hAnsi="宋体"/>
          <w:sz w:val="22"/>
          <w:szCs w:val="22"/>
        </w:rPr>
        <w:t>本章指定</w:t>
      </w:r>
      <w:r>
        <w:rPr>
          <w:rFonts w:ascii="宋体" w:hAnsi="宋体"/>
          <w:sz w:val="22"/>
          <w:szCs w:val="22"/>
        </w:rPr>
        <w:t>网站信息不一致的其他证明材料亦不作为</w:t>
      </w:r>
      <w:r>
        <w:rPr>
          <w:rFonts w:hint="eastAsia" w:ascii="宋体" w:hAnsi="宋体"/>
          <w:sz w:val="22"/>
          <w:szCs w:val="22"/>
        </w:rPr>
        <w:t>资格审查</w:t>
      </w:r>
      <w:r>
        <w:rPr>
          <w:rFonts w:ascii="宋体" w:hAnsi="宋体"/>
          <w:sz w:val="22"/>
          <w:szCs w:val="22"/>
        </w:rPr>
        <w:t>依据</w:t>
      </w:r>
      <w:r>
        <w:rPr>
          <w:rFonts w:hint="eastAsia" w:ascii="宋体" w:hAnsi="宋体"/>
          <w:sz w:val="22"/>
          <w:szCs w:val="22"/>
        </w:rPr>
        <w:t>。</w:t>
      </w:r>
    </w:p>
    <w:p>
      <w:pPr>
        <w:pStyle w:val="9"/>
        <w:adjustRightInd w:val="0"/>
        <w:snapToGrid w:val="0"/>
        <w:spacing w:beforeLines="50" w:after="0" w:line="360" w:lineRule="auto"/>
        <w:rPr>
          <w:rFonts w:ascii="黑体" w:hAnsi="黑体" w:eastAsia="黑体"/>
          <w:sz w:val="24"/>
          <w:szCs w:val="24"/>
        </w:rPr>
      </w:pPr>
      <w:bookmarkStart w:id="83" w:name="_Toc3279"/>
      <w:bookmarkStart w:id="84" w:name="_Toc15045"/>
      <w:bookmarkStart w:id="85" w:name="_Toc27065"/>
      <w:bookmarkStart w:id="86" w:name="_Toc35446168"/>
      <w:bookmarkStart w:id="87" w:name="_Toc27378"/>
      <w:bookmarkStart w:id="88" w:name="_Toc31155"/>
      <w:r>
        <w:rPr>
          <w:rFonts w:hint="eastAsia" w:ascii="黑体" w:hAnsi="黑体" w:eastAsia="黑体"/>
          <w:sz w:val="24"/>
          <w:szCs w:val="24"/>
        </w:rPr>
        <w:t>3．资格审查结果</w:t>
      </w:r>
      <w:bookmarkEnd w:id="83"/>
      <w:bookmarkEnd w:id="84"/>
      <w:bookmarkEnd w:id="85"/>
      <w:bookmarkEnd w:id="86"/>
      <w:bookmarkEnd w:id="87"/>
      <w:bookmarkEnd w:id="88"/>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3.1未通过资格审查的投标人，采购人及采购代理机构应当告知其未通过的原因。</w:t>
      </w:r>
    </w:p>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3.2资格审查结束后，采购人及采购代理机构应将资格审查结果告知评标委员会。</w:t>
      </w:r>
    </w:p>
    <w:p>
      <w:pPr>
        <w:pStyle w:val="9"/>
        <w:adjustRightInd w:val="0"/>
        <w:snapToGrid w:val="0"/>
        <w:spacing w:before="156" w:after="0" w:line="360" w:lineRule="auto"/>
        <w:rPr>
          <w:rFonts w:ascii="黑体" w:hAnsi="黑体" w:eastAsia="黑体"/>
          <w:sz w:val="24"/>
          <w:szCs w:val="24"/>
        </w:rPr>
      </w:pPr>
      <w:bookmarkStart w:id="89" w:name="_Toc35446169"/>
      <w:bookmarkStart w:id="90" w:name="_Toc1889"/>
      <w:bookmarkStart w:id="91" w:name="_Toc27297"/>
      <w:bookmarkStart w:id="92" w:name="_Toc10437"/>
      <w:bookmarkStart w:id="93" w:name="_Toc32288"/>
      <w:bookmarkStart w:id="94" w:name="_Toc2988"/>
      <w:r>
        <w:rPr>
          <w:rFonts w:hint="eastAsia" w:ascii="黑体" w:hAnsi="黑体" w:eastAsia="黑体"/>
          <w:sz w:val="24"/>
          <w:szCs w:val="24"/>
        </w:rPr>
        <w:t>4．其他</w:t>
      </w:r>
      <w:bookmarkEnd w:id="89"/>
      <w:bookmarkEnd w:id="90"/>
      <w:bookmarkEnd w:id="91"/>
      <w:bookmarkEnd w:id="92"/>
      <w:bookmarkEnd w:id="93"/>
      <w:bookmarkEnd w:id="94"/>
    </w:p>
    <w:p>
      <w:pPr>
        <w:adjustRightInd w:val="0"/>
        <w:snapToGrid w:val="0"/>
        <w:spacing w:beforeLines="50" w:line="360" w:lineRule="auto"/>
        <w:ind w:firstLine="420" w:firstLineChars="200"/>
        <w:jc w:val="left"/>
        <w:rPr>
          <w:rFonts w:ascii="华文中宋" w:hAnsi="华文中宋" w:eastAsia="华文中宋"/>
          <w:b/>
          <w:bCs/>
          <w:sz w:val="32"/>
        </w:rPr>
      </w:pPr>
      <w:r>
        <w:rPr>
          <w:rFonts w:hint="eastAsia" w:asciiTheme="minorEastAsia" w:hAnsiTheme="minorEastAsia" w:eastAsiaTheme="minorEastAsia"/>
          <w:szCs w:val="21"/>
        </w:rPr>
        <w:t>4.1实行资格预审的采购项目，开标结束后可以不再对投标人资格进行审查。资格预审合格的投标人在提交投标文件的截止时间前资格发生变化的，应当通知采购人和采购代理机构，并按新情况更新或补充其在申请资格预审时提供的证明资料，以证实其各项资格条件仍能继续满足资格预审公告的要求。</w:t>
      </w:r>
      <w:r>
        <w:rPr>
          <w:rFonts w:ascii="华文中宋" w:hAnsi="华文中宋" w:eastAsia="华文中宋"/>
        </w:rPr>
        <w:br w:type="page"/>
      </w:r>
    </w:p>
    <w:p>
      <w:pPr>
        <w:pStyle w:val="10"/>
        <w:spacing w:before="156"/>
        <w:rPr>
          <w:rFonts w:ascii="黑体" w:hAnsi="黑体"/>
          <w:b w:val="0"/>
          <w:sz w:val="21"/>
          <w:szCs w:val="21"/>
        </w:rPr>
      </w:pPr>
      <w:bookmarkStart w:id="95" w:name="_Toc35446170"/>
      <w:bookmarkStart w:id="96" w:name="_Toc35446171"/>
      <w:r>
        <w:rPr>
          <w:rFonts w:hint="eastAsia" w:ascii="黑体" w:hAnsi="黑体"/>
          <w:b w:val="0"/>
          <w:sz w:val="21"/>
          <w:szCs w:val="21"/>
        </w:rPr>
        <w:t xml:space="preserve">附表1 </w:t>
      </w:r>
      <w:r>
        <w:rPr>
          <w:rFonts w:ascii="黑体" w:hAnsi="黑体"/>
          <w:b w:val="0"/>
          <w:sz w:val="21"/>
          <w:szCs w:val="21"/>
        </w:rPr>
        <w:t>投标人资格审查表</w:t>
      </w:r>
      <w:bookmarkEnd w:id="95"/>
    </w:p>
    <w:p>
      <w:pPr>
        <w:adjustRightInd w:val="0"/>
        <w:snapToGrid w:val="0"/>
        <w:spacing w:line="360" w:lineRule="auto"/>
        <w:jc w:val="center"/>
        <w:rPr>
          <w:rFonts w:ascii="黑体" w:hAnsi="黑体" w:eastAsia="黑体"/>
          <w:b/>
          <w:sz w:val="28"/>
          <w:szCs w:val="28"/>
        </w:rPr>
      </w:pPr>
      <w:r>
        <w:rPr>
          <w:rFonts w:ascii="黑体" w:hAnsi="黑体" w:eastAsia="黑体"/>
          <w:b/>
          <w:sz w:val="28"/>
          <w:szCs w:val="28"/>
        </w:rPr>
        <w:t>投标人资格审查表</w:t>
      </w:r>
    </w:p>
    <w:p>
      <w:pPr>
        <w:adjustRightInd w:val="0"/>
        <w:snapToGrid w:val="0"/>
        <w:spacing w:line="360" w:lineRule="auto"/>
        <w:rPr>
          <w:rFonts w:ascii="黑体" w:hAnsi="黑体" w:eastAsia="黑体"/>
          <w:sz w:val="28"/>
          <w:szCs w:val="28"/>
        </w:rPr>
      </w:pPr>
      <w:r>
        <w:rPr>
          <w:rFonts w:hint="eastAsia" w:asciiTheme="minorEastAsia" w:hAnsiTheme="minorEastAsia" w:eastAsiaTheme="minorEastAsia"/>
          <w:szCs w:val="21"/>
        </w:rPr>
        <w:t>项目名称：                                          采购代理编号：</w:t>
      </w:r>
    </w:p>
    <w:tbl>
      <w:tblPr>
        <w:tblStyle w:val="47"/>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5380"/>
        <w:gridCol w:w="29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vAlign w:val="center"/>
          </w:tcPr>
          <w:p>
            <w:pPr>
              <w:adjustRightInd w:val="0"/>
              <w:snapToGrid w:val="0"/>
              <w:spacing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序号</w:t>
            </w:r>
          </w:p>
        </w:tc>
        <w:tc>
          <w:tcPr>
            <w:tcW w:w="5380" w:type="dxa"/>
            <w:vAlign w:val="center"/>
          </w:tcPr>
          <w:p>
            <w:pPr>
              <w:adjustRightInd w:val="0"/>
              <w:snapToGrid w:val="0"/>
              <w:spacing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审查项目</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5380" w:type="dxa"/>
          </w:tcPr>
          <w:p>
            <w:pPr>
              <w:adjustRightInd w:val="0"/>
              <w:snapToGrid w:val="0"/>
              <w:spacing w:beforeLines="50" w:line="360" w:lineRule="auto"/>
              <w:jc w:val="left"/>
              <w:rPr>
                <w:rFonts w:cs="宋体" w:asciiTheme="minorEastAsia" w:hAnsiTheme="minorEastAsia" w:eastAsiaTheme="minorEastAsia"/>
                <w:kern w:val="0"/>
                <w:szCs w:val="21"/>
              </w:rPr>
            </w:pPr>
            <w:r>
              <w:rPr>
                <w:rFonts w:hint="eastAsia" w:asciiTheme="minorEastAsia" w:hAnsiTheme="minorEastAsia" w:eastAsiaTheme="minorEastAsia"/>
                <w:kern w:val="0"/>
                <w:szCs w:val="21"/>
              </w:rPr>
              <w:t>法人或者其他组织的营业执照等主体资格证明文件，自然人的身份证明</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第二章第15.1（2）项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5380" w:type="dxa"/>
          </w:tcPr>
          <w:p>
            <w:pPr>
              <w:adjustRightInd w:val="0"/>
              <w:snapToGrid w:val="0"/>
              <w:spacing w:beforeLines="50" w:line="360" w:lineRule="auto"/>
              <w:jc w:val="left"/>
              <w:rPr>
                <w:rFonts w:hint="eastAsia" w:cs="宋体" w:asciiTheme="minorEastAsia" w:hAnsiTheme="minorEastAsia" w:eastAsiaTheme="minorEastAsia"/>
                <w:kern w:val="0"/>
                <w:szCs w:val="21"/>
                <w:lang w:eastAsia="zh-CN"/>
              </w:rPr>
            </w:pPr>
            <w:r>
              <w:rPr>
                <w:rFonts w:hint="eastAsia" w:asciiTheme="minorEastAsia" w:hAnsiTheme="minorEastAsia" w:eastAsiaTheme="minorEastAsia"/>
                <w:kern w:val="0"/>
                <w:szCs w:val="21"/>
              </w:rPr>
              <w:t>依法缴纳税收、依法缴纳社会保障资金、</w:t>
            </w:r>
            <w:r>
              <w:rPr>
                <w:rFonts w:hint="eastAsia" w:asciiTheme="minorEastAsia" w:hAnsiTheme="minorEastAsia" w:eastAsiaTheme="minorEastAsia"/>
                <w:kern w:val="0"/>
                <w:szCs w:val="21"/>
                <w:lang w:eastAsia="zh-CN"/>
              </w:rPr>
              <w:t>财务报表</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第二章第15.1（1）项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5380" w:type="dxa"/>
          </w:tcPr>
          <w:p>
            <w:pPr>
              <w:adjustRightInd w:val="0"/>
              <w:snapToGrid w:val="0"/>
              <w:spacing w:beforeLines="50" w:line="360" w:lineRule="auto"/>
              <w:jc w:val="left"/>
              <w:rPr>
                <w:rFonts w:cs="宋体" w:asciiTheme="minorEastAsia" w:hAnsiTheme="minorEastAsia" w:eastAsiaTheme="minorEastAsia"/>
                <w:kern w:val="0"/>
                <w:szCs w:val="21"/>
              </w:rPr>
            </w:pPr>
            <w:r>
              <w:rPr>
                <w:rFonts w:hint="eastAsia" w:asciiTheme="minorEastAsia" w:hAnsiTheme="minorEastAsia" w:eastAsiaTheme="minorEastAsia"/>
                <w:kern w:val="0"/>
                <w:szCs w:val="21"/>
              </w:rPr>
              <w:t>参加政府采购活动前3年内在经营活动中没有重大违法记录的书面声明</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第二章第15.1（1）项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5380" w:type="dxa"/>
          </w:tcPr>
          <w:p>
            <w:pPr>
              <w:adjustRightInd w:val="0"/>
              <w:snapToGrid w:val="0"/>
              <w:spacing w:beforeLines="50" w:line="360" w:lineRule="auto"/>
              <w:jc w:val="left"/>
              <w:rPr>
                <w:rFonts w:cs="宋体" w:asciiTheme="minorEastAsia" w:hAnsiTheme="minorEastAsia" w:eastAsiaTheme="minorEastAsia"/>
                <w:kern w:val="0"/>
                <w:szCs w:val="21"/>
              </w:rPr>
            </w:pPr>
            <w:r>
              <w:rPr>
                <w:rFonts w:hint="eastAsia" w:asciiTheme="minorEastAsia" w:hAnsiTheme="minorEastAsia" w:eastAsiaTheme="minorEastAsia"/>
                <w:kern w:val="0"/>
                <w:szCs w:val="21"/>
              </w:rPr>
              <w:t>具备法律、行政法规规定的其他条件的证明材料</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第二章第15.1（2）项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5380" w:type="dxa"/>
          </w:tcPr>
          <w:p>
            <w:pPr>
              <w:adjustRightInd w:val="0"/>
              <w:snapToGrid w:val="0"/>
              <w:spacing w:beforeLines="50"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符合特定资格条件证明材料复印件或者情况说明</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第二章第15.1（3）项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5380" w:type="dxa"/>
          </w:tcPr>
          <w:p>
            <w:pPr>
              <w:adjustRightInd w:val="0"/>
              <w:snapToGrid w:val="0"/>
              <w:spacing w:beforeLines="50" w:line="360" w:lineRule="auto"/>
              <w:jc w:val="left"/>
              <w:rPr>
                <w:rFonts w:asciiTheme="minorEastAsia" w:hAnsiTheme="minorEastAsia" w:eastAsiaTheme="minorEastAsia"/>
                <w:kern w:val="0"/>
                <w:szCs w:val="21"/>
              </w:rPr>
            </w:pPr>
            <w:r>
              <w:rPr>
                <w:rFonts w:hint="eastAsia" w:asciiTheme="minorEastAsia" w:hAnsiTheme="minorEastAsia"/>
                <w:szCs w:val="21"/>
              </w:rPr>
              <w:t>单位负责人为同一人或者存在直接控股、管理关系的书面说明</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第二章第15.1（4）项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5380" w:type="dxa"/>
            <w:vAlign w:val="center"/>
          </w:tcPr>
          <w:p>
            <w:pPr>
              <w:adjustRightInd w:val="0"/>
              <w:snapToGrid w:val="0"/>
              <w:spacing w:beforeLines="50"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联合体协议书（联合体形式投标的）</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第二章第15.2款、本章第2.4（3）项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w:t>
            </w:r>
          </w:p>
        </w:tc>
        <w:tc>
          <w:tcPr>
            <w:tcW w:w="5380" w:type="dxa"/>
          </w:tcPr>
          <w:p>
            <w:pPr>
              <w:adjustRightInd w:val="0"/>
              <w:snapToGrid w:val="0"/>
              <w:spacing w:beforeLines="50"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不良信用记录查询</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本章第2.4（2）项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9</w:t>
            </w:r>
          </w:p>
        </w:tc>
        <w:tc>
          <w:tcPr>
            <w:tcW w:w="5380" w:type="dxa"/>
          </w:tcPr>
          <w:p>
            <w:pPr>
              <w:adjustRightInd w:val="0"/>
              <w:snapToGrid w:val="0"/>
              <w:spacing w:beforeLines="50"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投标保证金</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Cs w:val="21"/>
              </w:rPr>
              <w:t>第二章第</w:t>
            </w:r>
            <w:r>
              <w:rPr>
                <w:rFonts w:cs="宋体" w:asciiTheme="minorEastAsia" w:hAnsiTheme="minorEastAsia" w:eastAsiaTheme="minorEastAsia"/>
                <w:kern w:val="0"/>
                <w:sz w:val="20"/>
                <w:szCs w:val="21"/>
              </w:rPr>
              <w:t>18.1</w:t>
            </w:r>
            <w:r>
              <w:rPr>
                <w:rFonts w:hint="eastAsia" w:cs="宋体" w:asciiTheme="minorEastAsia" w:hAnsiTheme="minorEastAsia" w:eastAsiaTheme="minorEastAsia"/>
                <w:kern w:val="0"/>
                <w:sz w:val="20"/>
                <w:szCs w:val="21"/>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5380" w:type="dxa"/>
          </w:tcPr>
          <w:p>
            <w:pPr>
              <w:adjustRightInd w:val="0"/>
              <w:snapToGrid w:val="0"/>
              <w:spacing w:beforeLines="50"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投标报价</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Cs w:val="21"/>
              </w:rPr>
              <w:t>第二章第</w:t>
            </w:r>
            <w:r>
              <w:rPr>
                <w:rFonts w:cs="宋体" w:asciiTheme="minorEastAsia" w:hAnsiTheme="minorEastAsia" w:eastAsiaTheme="minorEastAsia"/>
                <w:kern w:val="0"/>
                <w:sz w:val="20"/>
                <w:szCs w:val="21"/>
              </w:rPr>
              <w:t>14.2</w:t>
            </w:r>
            <w:r>
              <w:rPr>
                <w:rFonts w:hint="eastAsia" w:cs="宋体" w:asciiTheme="minorEastAsia" w:hAnsiTheme="minorEastAsia" w:eastAsiaTheme="minorEastAsia"/>
                <w:kern w:val="0"/>
                <w:sz w:val="20"/>
                <w:szCs w:val="21"/>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5380" w:type="dxa"/>
            <w:vAlign w:val="center"/>
          </w:tcPr>
          <w:p>
            <w:pPr>
              <w:adjustRightInd w:val="0"/>
              <w:snapToGrid w:val="0"/>
              <w:spacing w:beforeLines="50"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资格证明文件的装订、签署、盖章。</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Cs w:val="21"/>
              </w:rPr>
              <w:t>第二章第</w:t>
            </w:r>
            <w:r>
              <w:rPr>
                <w:rFonts w:cs="宋体" w:asciiTheme="minorEastAsia" w:hAnsiTheme="minorEastAsia" w:eastAsiaTheme="minorEastAsia"/>
                <w:kern w:val="0"/>
                <w:szCs w:val="21"/>
              </w:rPr>
              <w:t>13.2</w:t>
            </w:r>
            <w:r>
              <w:rPr>
                <w:rFonts w:hint="eastAsia" w:cs="宋体" w:asciiTheme="minorEastAsia" w:hAnsiTheme="minorEastAsia" w:eastAsiaTheme="minorEastAsia"/>
                <w:kern w:val="0"/>
                <w:szCs w:val="21"/>
              </w:rPr>
              <w:t>款、第</w:t>
            </w:r>
            <w:r>
              <w:rPr>
                <w:rFonts w:cs="宋体" w:asciiTheme="minorEastAsia" w:hAnsiTheme="minorEastAsia" w:eastAsiaTheme="minorEastAsia"/>
                <w:kern w:val="0"/>
                <w:sz w:val="20"/>
                <w:szCs w:val="21"/>
              </w:rPr>
              <w:t>20.2</w:t>
            </w:r>
            <w:r>
              <w:rPr>
                <w:rFonts w:hint="eastAsia" w:cs="宋体" w:asciiTheme="minorEastAsia" w:hAnsiTheme="minorEastAsia" w:eastAsiaTheme="minorEastAsia"/>
                <w:kern w:val="0"/>
                <w:sz w:val="20"/>
                <w:szCs w:val="21"/>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12</w:t>
            </w:r>
          </w:p>
        </w:tc>
        <w:tc>
          <w:tcPr>
            <w:tcW w:w="5380" w:type="dxa"/>
            <w:vAlign w:val="center"/>
          </w:tcPr>
          <w:p>
            <w:pPr>
              <w:adjustRightInd w:val="0"/>
              <w:snapToGrid w:val="0"/>
              <w:spacing w:beforeLines="50"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授权代表委托书（授权代表参加投标）</w:t>
            </w:r>
          </w:p>
        </w:tc>
        <w:tc>
          <w:tcPr>
            <w:tcW w:w="2997" w:type="dxa"/>
            <w:vAlign w:val="center"/>
          </w:tcPr>
          <w:p>
            <w:pPr>
              <w:adjustRightInd w:val="0"/>
              <w:snapToGrid w:val="0"/>
              <w:spacing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Cs w:val="21"/>
              </w:rPr>
              <w:t>第二章第</w:t>
            </w:r>
            <w:r>
              <w:rPr>
                <w:rFonts w:cs="宋体" w:asciiTheme="minorEastAsia" w:hAnsiTheme="minorEastAsia" w:eastAsiaTheme="minorEastAsia"/>
                <w:kern w:val="0"/>
                <w:sz w:val="20"/>
                <w:szCs w:val="21"/>
              </w:rPr>
              <w:t>20.2</w:t>
            </w:r>
            <w:r>
              <w:rPr>
                <w:rFonts w:hint="eastAsia" w:cs="宋体" w:asciiTheme="minorEastAsia" w:hAnsiTheme="minorEastAsia" w:eastAsiaTheme="minorEastAsia"/>
                <w:kern w:val="0"/>
                <w:sz w:val="20"/>
                <w:szCs w:val="21"/>
              </w:rPr>
              <w:t>款</w:t>
            </w:r>
          </w:p>
        </w:tc>
      </w:tr>
    </w:tbl>
    <w:p>
      <w:pPr>
        <w:pStyle w:val="10"/>
        <w:adjustRightInd w:val="0"/>
        <w:snapToGrid w:val="0"/>
        <w:spacing w:before="156" w:after="0" w:line="360" w:lineRule="auto"/>
        <w:rPr>
          <w:rFonts w:ascii="黑体" w:hAnsi="黑体"/>
          <w:b w:val="0"/>
          <w:sz w:val="21"/>
          <w:szCs w:val="21"/>
        </w:rPr>
        <w:sectPr>
          <w:pgSz w:w="11906" w:h="16838"/>
          <w:pgMar w:top="1020" w:right="1587" w:bottom="1191" w:left="1587" w:header="851" w:footer="992" w:gutter="0"/>
          <w:pgNumType w:fmt="numberInDash"/>
          <w:cols w:space="0" w:num="1"/>
          <w:docGrid w:type="lines" w:linePitch="312" w:charSpace="0"/>
        </w:sectPr>
      </w:pPr>
    </w:p>
    <w:p>
      <w:pPr>
        <w:pStyle w:val="10"/>
        <w:adjustRightInd w:val="0"/>
        <w:snapToGrid w:val="0"/>
        <w:spacing w:before="156" w:after="0" w:line="360" w:lineRule="auto"/>
        <w:rPr>
          <w:rFonts w:ascii="黑体" w:hAnsi="黑体"/>
          <w:b w:val="0"/>
          <w:sz w:val="21"/>
          <w:szCs w:val="21"/>
        </w:rPr>
      </w:pPr>
      <w:r>
        <w:rPr>
          <w:rFonts w:hint="eastAsia" w:ascii="黑体" w:hAnsi="黑体"/>
          <w:b w:val="0"/>
          <w:sz w:val="21"/>
          <w:szCs w:val="21"/>
        </w:rPr>
        <w:t>附表2 资格审查结果一览表</w:t>
      </w:r>
      <w:bookmarkEnd w:id="96"/>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资格审查结果一览表</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项目名称：                                           采购代理编号：</w:t>
      </w:r>
    </w:p>
    <w:tbl>
      <w:tblPr>
        <w:tblStyle w:val="47"/>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2963"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投标人名称</w:t>
            </w:r>
          </w:p>
        </w:tc>
        <w:tc>
          <w:tcPr>
            <w:tcW w:w="2439"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资格审查结果</w:t>
            </w:r>
          </w:p>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（合格/不合格）</w:t>
            </w:r>
          </w:p>
        </w:tc>
        <w:tc>
          <w:tcPr>
            <w:tcW w:w="2961"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资格审查不合格原因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rPr>
            </w:pPr>
          </w:p>
        </w:tc>
        <w:tc>
          <w:tcPr>
            <w:tcW w:w="2963" w:type="dxa"/>
          </w:tcPr>
          <w:p>
            <w:pPr>
              <w:adjustRightInd w:val="0"/>
              <w:snapToGrid w:val="0"/>
              <w:spacing w:line="360" w:lineRule="auto"/>
              <w:rPr>
                <w:rFonts w:asciiTheme="minorEastAsia" w:hAnsiTheme="minorEastAsia" w:eastAsiaTheme="minorEastAsia"/>
                <w:kern w:val="0"/>
              </w:rPr>
            </w:pPr>
          </w:p>
        </w:tc>
        <w:tc>
          <w:tcPr>
            <w:tcW w:w="2439" w:type="dxa"/>
          </w:tcPr>
          <w:p>
            <w:pPr>
              <w:adjustRightInd w:val="0"/>
              <w:snapToGrid w:val="0"/>
              <w:spacing w:line="360" w:lineRule="auto"/>
              <w:rPr>
                <w:rFonts w:asciiTheme="minorEastAsia" w:hAnsiTheme="minorEastAsia" w:eastAsiaTheme="minorEastAsia"/>
                <w:kern w:val="0"/>
              </w:rPr>
            </w:pPr>
          </w:p>
        </w:tc>
        <w:tc>
          <w:tcPr>
            <w:tcW w:w="2961" w:type="dxa"/>
          </w:tcPr>
          <w:p>
            <w:pPr>
              <w:adjustRightInd w:val="0"/>
              <w:snapToGrid w:val="0"/>
              <w:spacing w:line="360" w:lineRule="auto"/>
              <w:rPr>
                <w:rFonts w:asciiTheme="minorEastAsia" w:hAnsiTheme="minorEastAsia" w:eastAsiaTheme="minorEastAsia"/>
                <w:kern w:val="0"/>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采购人（签字）：</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采购代理机构（签字）：</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日期：年月日</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10"/>
        <w:adjustRightInd w:val="0"/>
        <w:snapToGrid w:val="0"/>
        <w:spacing w:before="156" w:after="0" w:line="360" w:lineRule="auto"/>
        <w:rPr>
          <w:rFonts w:ascii="黑体" w:hAnsi="黑体"/>
          <w:b w:val="0"/>
          <w:sz w:val="21"/>
          <w:szCs w:val="21"/>
        </w:rPr>
      </w:pPr>
      <w:bookmarkStart w:id="97" w:name="_Toc35446172"/>
      <w:r>
        <w:rPr>
          <w:rFonts w:hint="eastAsia" w:ascii="黑体" w:hAnsi="黑体"/>
          <w:b w:val="0"/>
          <w:sz w:val="21"/>
          <w:szCs w:val="21"/>
        </w:rPr>
        <w:t>附表3 资格审查合格投标人名单</w:t>
      </w:r>
      <w:bookmarkEnd w:id="97"/>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资格审查合格投标人名单</w:t>
      </w:r>
    </w:p>
    <w:p>
      <w:pPr>
        <w:adjustRightInd w:val="0"/>
        <w:snapToGrid w:val="0"/>
        <w:spacing w:line="360" w:lineRule="auto"/>
        <w:rPr>
          <w:rFonts w:ascii="华文中宋" w:hAnsi="华文中宋" w:eastAsia="华文中宋"/>
          <w:sz w:val="32"/>
          <w:szCs w:val="32"/>
        </w:rPr>
      </w:pPr>
      <w:r>
        <w:rPr>
          <w:rFonts w:hint="eastAsia" w:asciiTheme="minorEastAsia" w:hAnsiTheme="minorEastAsia" w:eastAsiaTheme="minorEastAsia"/>
          <w:szCs w:val="21"/>
        </w:rPr>
        <w:t>项目名称：                                        采购代理编号：</w:t>
      </w:r>
    </w:p>
    <w:tbl>
      <w:tblPr>
        <w:tblStyle w:val="47"/>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993" w:type="dxa"/>
            <w:vAlign w:val="center"/>
          </w:tcPr>
          <w:p>
            <w:pPr>
              <w:jc w:val="center"/>
              <w:rPr>
                <w:b/>
                <w:kern w:val="0"/>
                <w:szCs w:val="21"/>
              </w:rPr>
            </w:pPr>
            <w:r>
              <w:rPr>
                <w:rFonts w:hint="eastAsia"/>
                <w:b/>
                <w:kern w:val="0"/>
                <w:szCs w:val="21"/>
              </w:rPr>
              <w:t>序号</w:t>
            </w:r>
          </w:p>
        </w:tc>
        <w:tc>
          <w:tcPr>
            <w:tcW w:w="7796" w:type="dxa"/>
            <w:vAlign w:val="center"/>
          </w:tcPr>
          <w:p>
            <w:pPr>
              <w:jc w:val="center"/>
              <w:rPr>
                <w:b/>
                <w:kern w:val="0"/>
                <w:szCs w:val="21"/>
              </w:rPr>
            </w:pPr>
            <w:r>
              <w:rPr>
                <w:rFonts w:hint="eastAsia"/>
                <w:b/>
                <w:kern w:val="0"/>
                <w:szCs w:val="21"/>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Cs w:val="21"/>
              </w:rPr>
            </w:pPr>
          </w:p>
        </w:tc>
        <w:tc>
          <w:tcPr>
            <w:tcW w:w="7796" w:type="dxa"/>
          </w:tcPr>
          <w:p>
            <w:pPr>
              <w:adjustRightInd w:val="0"/>
              <w:snapToGrid w:val="0"/>
              <w:spacing w:line="360" w:lineRule="auto"/>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rPr>
            </w:pPr>
          </w:p>
        </w:tc>
        <w:tc>
          <w:tcPr>
            <w:tcW w:w="7796"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rPr>
            </w:pPr>
          </w:p>
        </w:tc>
        <w:tc>
          <w:tcPr>
            <w:tcW w:w="7796"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993" w:type="dxa"/>
          </w:tcPr>
          <w:p>
            <w:pPr>
              <w:adjustRightInd w:val="0"/>
              <w:snapToGrid w:val="0"/>
              <w:spacing w:line="360" w:lineRule="auto"/>
              <w:rPr>
                <w:rFonts w:asciiTheme="minorEastAsia" w:hAnsiTheme="minorEastAsia" w:eastAsiaTheme="minorEastAsia"/>
                <w:kern w:val="0"/>
              </w:rPr>
            </w:pPr>
          </w:p>
        </w:tc>
        <w:tc>
          <w:tcPr>
            <w:tcW w:w="7796"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993" w:type="dxa"/>
          </w:tcPr>
          <w:p>
            <w:pPr>
              <w:adjustRightInd w:val="0"/>
              <w:snapToGrid w:val="0"/>
              <w:spacing w:line="360" w:lineRule="auto"/>
              <w:rPr>
                <w:rFonts w:asciiTheme="minorEastAsia" w:hAnsiTheme="minorEastAsia" w:eastAsiaTheme="minorEastAsia"/>
                <w:kern w:val="0"/>
              </w:rPr>
            </w:pPr>
          </w:p>
        </w:tc>
        <w:tc>
          <w:tcPr>
            <w:tcW w:w="7796" w:type="dxa"/>
          </w:tcPr>
          <w:p>
            <w:pPr>
              <w:adjustRightInd w:val="0"/>
              <w:snapToGrid w:val="0"/>
              <w:spacing w:line="360" w:lineRule="auto"/>
              <w:rPr>
                <w:rFonts w:asciiTheme="minorEastAsia" w:hAnsiTheme="minorEastAsia" w:eastAsiaTheme="minorEastAsia"/>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rPr>
            </w:pPr>
          </w:p>
        </w:tc>
        <w:tc>
          <w:tcPr>
            <w:tcW w:w="7796" w:type="dxa"/>
          </w:tcPr>
          <w:p>
            <w:pPr>
              <w:adjustRightInd w:val="0"/>
              <w:snapToGrid w:val="0"/>
              <w:spacing w:line="360" w:lineRule="auto"/>
              <w:rPr>
                <w:rFonts w:asciiTheme="minorEastAsia" w:hAnsiTheme="minorEastAsia" w:eastAsiaTheme="minorEastAsia"/>
                <w:kern w:val="0"/>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采购人（签字）：</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采购代理机构（签字）：</w:t>
      </w:r>
    </w:p>
    <w:p>
      <w:pPr>
        <w:rPr>
          <w:rFonts w:ascii="黑体" w:hAnsi="华文中宋" w:eastAsia="黑体"/>
          <w:b/>
          <w:sz w:val="32"/>
          <w:szCs w:val="32"/>
        </w:rPr>
      </w:pPr>
      <w:r>
        <w:rPr>
          <w:rFonts w:hint="eastAsia" w:asciiTheme="minorEastAsia" w:hAnsiTheme="minorEastAsia" w:eastAsiaTheme="minorEastAsia"/>
          <w:szCs w:val="21"/>
        </w:rPr>
        <w:t>日期：年月日</w:t>
      </w:r>
      <w:r>
        <w:rPr>
          <w:rFonts w:ascii="宋体" w:hAnsi="宋体"/>
        </w:rPr>
        <w:br w:type="page"/>
      </w:r>
    </w:p>
    <w:p>
      <w:pPr>
        <w:pStyle w:val="26"/>
        <w:adjustRightInd w:val="0"/>
        <w:snapToGrid w:val="0"/>
        <w:spacing w:line="360" w:lineRule="auto"/>
        <w:jc w:val="center"/>
        <w:outlineLvl w:val="0"/>
        <w:rPr>
          <w:rFonts w:ascii="黑体" w:hAnsi="华文中宋" w:eastAsia="黑体"/>
          <w:b/>
          <w:sz w:val="28"/>
          <w:szCs w:val="28"/>
        </w:rPr>
      </w:pPr>
      <w:bookmarkStart w:id="98" w:name="_Toc25590"/>
      <w:bookmarkStart w:id="99" w:name="_Toc35446173"/>
      <w:bookmarkStart w:id="100" w:name="_Toc30828"/>
      <w:bookmarkStart w:id="101" w:name="_Toc22943"/>
      <w:bookmarkStart w:id="102" w:name="_Toc12232"/>
      <w:bookmarkStart w:id="103" w:name="_Toc16268"/>
      <w:r>
        <w:rPr>
          <w:rFonts w:hint="eastAsia" w:ascii="黑体" w:hAnsi="华文中宋" w:eastAsia="黑体"/>
          <w:b/>
          <w:sz w:val="32"/>
          <w:szCs w:val="32"/>
        </w:rPr>
        <w:t>第四章 评标方法及标准（综合评分法）</w:t>
      </w:r>
      <w:bookmarkEnd w:id="98"/>
      <w:bookmarkEnd w:id="99"/>
      <w:bookmarkEnd w:id="100"/>
      <w:bookmarkEnd w:id="101"/>
      <w:bookmarkEnd w:id="102"/>
      <w:bookmarkEnd w:id="103"/>
    </w:p>
    <w:p>
      <w:pPr>
        <w:pStyle w:val="8"/>
        <w:keepNext w:val="0"/>
        <w:keepLines w:val="0"/>
        <w:adjustRightInd w:val="0"/>
        <w:snapToGrid w:val="0"/>
        <w:spacing w:before="156" w:beforeLines="50"/>
        <w:jc w:val="center"/>
        <w:rPr>
          <w:rFonts w:hint="eastAsia" w:cs="Times New Roman" w:asciiTheme="minorEastAsia" w:hAnsiTheme="minorEastAsia" w:eastAsiaTheme="minorEastAsia"/>
          <w:color w:val="auto"/>
          <w:sz w:val="28"/>
          <w:szCs w:val="28"/>
          <w:highlight w:val="none"/>
        </w:rPr>
      </w:pPr>
      <w:bookmarkStart w:id="104" w:name="_Toc14120"/>
      <w:bookmarkStart w:id="105" w:name="_Toc20914"/>
      <w:bookmarkStart w:id="106" w:name="_Toc23344"/>
      <w:bookmarkStart w:id="107" w:name="_Toc35446174"/>
      <w:bookmarkStart w:id="108" w:name="_Toc10936"/>
      <w:bookmarkStart w:id="109" w:name="_Toc29899"/>
      <w:r>
        <w:rPr>
          <w:rFonts w:hint="eastAsia" w:cs="Times New Roman" w:asciiTheme="minorEastAsia" w:hAnsiTheme="minorEastAsia" w:eastAsiaTheme="minorEastAsia"/>
          <w:color w:val="auto"/>
          <w:sz w:val="28"/>
          <w:szCs w:val="28"/>
          <w:highlight w:val="none"/>
        </w:rPr>
        <w:t>第一节</w:t>
      </w:r>
      <w:r>
        <w:rPr>
          <w:rFonts w:hint="eastAsia" w:cs="Times New Roman" w:asciiTheme="minorEastAsia" w:hAnsiTheme="minorEastAsia" w:eastAsiaTheme="minorEastAsia"/>
          <w:color w:val="auto"/>
          <w:sz w:val="28"/>
          <w:szCs w:val="28"/>
          <w:highlight w:val="none"/>
          <w:lang w:val="en-US" w:eastAsia="zh-CN"/>
        </w:rPr>
        <w:t xml:space="preserve"> </w:t>
      </w:r>
      <w:r>
        <w:rPr>
          <w:rFonts w:hint="eastAsia" w:cs="Times New Roman" w:asciiTheme="minorEastAsia" w:hAnsiTheme="minorEastAsia" w:eastAsiaTheme="minorEastAsia"/>
          <w:color w:val="auto"/>
          <w:sz w:val="28"/>
          <w:szCs w:val="28"/>
          <w:highlight w:val="none"/>
        </w:rPr>
        <w:t>评标方法及标准前附表</w:t>
      </w:r>
      <w:bookmarkEnd w:id="104"/>
      <w:bookmarkEnd w:id="105"/>
      <w:bookmarkEnd w:id="106"/>
      <w:bookmarkEnd w:id="107"/>
      <w:bookmarkEnd w:id="108"/>
      <w:bookmarkEnd w:id="109"/>
    </w:p>
    <w:p>
      <w:pPr>
        <w:adjustRightInd w:val="0"/>
        <w:snapToGrid w:val="0"/>
        <w:spacing w:line="360" w:lineRule="auto"/>
        <w:jc w:val="right"/>
        <w:rPr>
          <w:rFonts w:asciiTheme="minorEastAsia" w:hAnsiTheme="minorEastAsia" w:eastAsiaTheme="minorEastAsia"/>
          <w:bCs/>
          <w:i/>
          <w:szCs w:val="21"/>
        </w:rPr>
      </w:pPr>
      <w:r>
        <w:rPr>
          <w:rFonts w:hint="eastAsia" w:asciiTheme="minorEastAsia" w:hAnsiTheme="minorEastAsia" w:eastAsiaTheme="minorEastAsia"/>
          <w:bCs/>
          <w:i/>
          <w:szCs w:val="21"/>
        </w:rPr>
        <w:t>本项目启用的条款在“编列内容规定”栏内以“■”标注。</w:t>
      </w:r>
    </w:p>
    <w:tbl>
      <w:tblPr>
        <w:tblStyle w:val="47"/>
        <w:tblW w:w="878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664"/>
        <w:gridCol w:w="1463"/>
        <w:gridCol w:w="4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tcPr>
          <w:p>
            <w:pPr>
              <w:adjustRightInd w:val="0"/>
              <w:snapToGrid w:val="0"/>
              <w:spacing w:beforeLines="50" w:line="360" w:lineRule="auto"/>
              <w:jc w:val="center"/>
              <w:rPr>
                <w:b/>
              </w:rPr>
            </w:pPr>
            <w:r>
              <w:rPr>
                <w:rFonts w:hint="eastAsia"/>
                <w:b/>
              </w:rPr>
              <w:t>条款号</w:t>
            </w:r>
          </w:p>
        </w:tc>
        <w:tc>
          <w:tcPr>
            <w:tcW w:w="2127" w:type="dxa"/>
            <w:gridSpan w:val="2"/>
          </w:tcPr>
          <w:p>
            <w:pPr>
              <w:adjustRightInd w:val="0"/>
              <w:snapToGrid w:val="0"/>
              <w:spacing w:beforeLines="50" w:line="360" w:lineRule="auto"/>
              <w:jc w:val="center"/>
              <w:rPr>
                <w:b/>
              </w:rPr>
            </w:pPr>
            <w:r>
              <w:rPr>
                <w:rFonts w:hint="eastAsia"/>
                <w:b/>
              </w:rPr>
              <w:t>条款名称</w:t>
            </w:r>
          </w:p>
        </w:tc>
        <w:tc>
          <w:tcPr>
            <w:tcW w:w="4961" w:type="dxa"/>
          </w:tcPr>
          <w:p>
            <w:pPr>
              <w:adjustRightInd w:val="0"/>
              <w:snapToGrid w:val="0"/>
              <w:spacing w:beforeLines="50" w:line="360" w:lineRule="auto"/>
              <w:jc w:val="center"/>
              <w:rPr>
                <w:b/>
              </w:rPr>
            </w:pPr>
            <w:r>
              <w:rPr>
                <w:rFonts w:hint="eastAsia"/>
                <w:b/>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adjustRightInd w:val="0"/>
              <w:snapToGrid w:val="0"/>
              <w:spacing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第1.2</w:t>
            </w:r>
            <w:r>
              <w:rPr>
                <w:rFonts w:hint="eastAsia" w:cs="宋体" w:asciiTheme="minorEastAsia" w:hAnsiTheme="minorEastAsia" w:eastAsiaTheme="minorEastAsia"/>
                <w:kern w:val="0"/>
                <w:szCs w:val="21"/>
                <w:lang w:val="zh-CN"/>
              </w:rPr>
              <w:t>款</w:t>
            </w:r>
          </w:p>
        </w:tc>
        <w:tc>
          <w:tcPr>
            <w:tcW w:w="2127" w:type="dxa"/>
            <w:gridSpan w:val="2"/>
            <w:vAlign w:val="center"/>
          </w:tcPr>
          <w:p>
            <w:pPr>
              <w:adjustRightInd w:val="0"/>
              <w:snapToGrid w:val="0"/>
              <w:spacing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评标因素和标准</w:t>
            </w:r>
          </w:p>
        </w:tc>
        <w:tc>
          <w:tcPr>
            <w:tcW w:w="496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见附页1 评标方法及标准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adjustRightInd w:val="0"/>
              <w:snapToGrid w:val="0"/>
              <w:spacing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第4.2</w:t>
            </w:r>
            <w:r>
              <w:rPr>
                <w:rFonts w:hint="eastAsia" w:cs="宋体" w:asciiTheme="minorEastAsia" w:hAnsiTheme="minorEastAsia" w:eastAsiaTheme="minorEastAsia"/>
                <w:kern w:val="0"/>
                <w:szCs w:val="21"/>
                <w:lang w:val="zh-CN"/>
              </w:rPr>
              <w:t>款</w:t>
            </w:r>
          </w:p>
        </w:tc>
        <w:tc>
          <w:tcPr>
            <w:tcW w:w="2127" w:type="dxa"/>
            <w:gridSpan w:val="2"/>
            <w:vAlign w:val="center"/>
          </w:tcPr>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投标文件报价出现前后不一致的修正</w:t>
            </w:r>
          </w:p>
        </w:tc>
        <w:tc>
          <w:tcPr>
            <w:tcW w:w="4961" w:type="dxa"/>
            <w:vAlign w:val="center"/>
          </w:tcPr>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①投标文件中开标一览表（报价表）内容与投标文件中相应内容不一致的，以开标一览表（报价表）为准；</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②大写金额和小写金额不一致的，以大写金额为准；</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③单价金额小数点或者百分比有明显错位的，以开标一览表的总价为准，并修改单价；</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④总价金额与按单价汇总金额不一致的，以单价金额计算结果为准。</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color w:val="auto"/>
                <w:szCs w:val="21"/>
                <w:highlight w:val="none"/>
              </w:rPr>
              <w:t>第5.3（1）</w:t>
            </w:r>
            <w:r>
              <w:rPr>
                <w:rFonts w:hint="eastAsia" w:cs="宋体" w:asciiTheme="minorEastAsia" w:hAnsiTheme="minorEastAsia" w:eastAsiaTheme="minorEastAsia"/>
                <w:color w:val="auto"/>
                <w:kern w:val="0"/>
                <w:szCs w:val="21"/>
                <w:highlight w:val="none"/>
                <w:lang w:val="zh-CN"/>
              </w:rPr>
              <w:t>项</w:t>
            </w:r>
          </w:p>
        </w:tc>
        <w:tc>
          <w:tcPr>
            <w:tcW w:w="2127" w:type="dxa"/>
            <w:gridSpan w:val="2"/>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color w:val="auto"/>
                <w:szCs w:val="21"/>
                <w:highlight w:val="none"/>
              </w:rPr>
              <w:t>价格评审优惠</w:t>
            </w:r>
          </w:p>
        </w:tc>
        <w:tc>
          <w:tcPr>
            <w:tcW w:w="4961" w:type="dxa"/>
            <w:vAlign w:val="center"/>
          </w:tcPr>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w:t>
            </w:r>
            <w:r>
              <w:rPr>
                <w:rFonts w:hint="eastAsia" w:cs="Times New Roman" w:asciiTheme="minorEastAsia" w:hAnsiTheme="minorEastAsia" w:eastAsiaTheme="minorEastAsia"/>
                <w:color w:val="auto"/>
                <w:szCs w:val="21"/>
                <w:highlight w:val="none"/>
                <w:lang w:val="en-US" w:eastAsia="zh-CN"/>
              </w:rPr>
              <w:t xml:space="preserve"> </w:t>
            </w:r>
            <w:r>
              <w:rPr>
                <w:rFonts w:hint="eastAsia" w:cs="Times New Roman" w:asciiTheme="minorEastAsia" w:hAnsiTheme="minorEastAsia" w:eastAsiaTheme="minorEastAsia"/>
                <w:color w:val="auto"/>
                <w:szCs w:val="21"/>
                <w:highlight w:val="none"/>
              </w:rPr>
              <w:t>专门面向中小企业采购</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w:t>
            </w:r>
            <w:r>
              <w:rPr>
                <w:rFonts w:hint="eastAsia" w:cs="Times New Roman" w:asciiTheme="minorEastAsia" w:hAnsiTheme="minorEastAsia" w:eastAsiaTheme="minorEastAsia"/>
                <w:color w:val="auto"/>
                <w:szCs w:val="21"/>
                <w:highlight w:val="none"/>
                <w:lang w:val="en-US" w:eastAsia="zh-CN"/>
              </w:rPr>
              <w:t xml:space="preserve"> </w:t>
            </w:r>
            <w:r>
              <w:rPr>
                <w:rFonts w:hint="eastAsia" w:cs="Times New Roman" w:asciiTheme="minorEastAsia" w:hAnsiTheme="minorEastAsia" w:eastAsiaTheme="minorEastAsia"/>
                <w:color w:val="auto"/>
                <w:szCs w:val="21"/>
                <w:highlight w:val="none"/>
              </w:rPr>
              <w:t>非专门面向中小企业采购</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支持中小企业发展：小型或微型企业产品（监狱企业、残疾人福利性单位视同小、微型企业）的价格给予6%的扣除比例，用扣除后的价格参与评审。</w:t>
            </w:r>
          </w:p>
          <w:p>
            <w:pPr>
              <w:adjustRightInd w:val="0"/>
              <w:snapToGrid w:val="0"/>
              <w:spacing w:line="360" w:lineRule="auto"/>
              <w:rPr>
                <w:rFonts w:hAnsi="宋体"/>
                <w:szCs w:val="21"/>
              </w:rPr>
            </w:pPr>
            <w:r>
              <w:rPr>
                <w:rFonts w:hint="eastAsia" w:cs="Times New Roman" w:asciiTheme="minorEastAsia" w:hAnsiTheme="minorEastAsia" w:eastAsiaTheme="minorEastAsia"/>
                <w:color w:val="auto"/>
                <w:szCs w:val="21"/>
                <w:highlight w:val="none"/>
              </w:rPr>
              <w:t>说明：监狱企业、残疾人福利性单位同时属于小型、微型企业的，不重</w:t>
            </w:r>
            <w:r>
              <w:rPr>
                <w:rFonts w:hint="eastAsia" w:asciiTheme="minorEastAsia" w:hAnsiTheme="minorEastAsia" w:eastAsiaTheme="minorEastAsia"/>
                <w:color w:val="auto"/>
                <w:szCs w:val="21"/>
                <w:highlight w:val="none"/>
              </w:rPr>
              <w:t>复享受价格评审优惠政策。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color w:val="auto"/>
                <w:szCs w:val="21"/>
                <w:highlight w:val="none"/>
              </w:rPr>
              <w:t>第5.3（2）</w:t>
            </w:r>
            <w:r>
              <w:rPr>
                <w:rFonts w:hint="eastAsia" w:cs="宋体" w:asciiTheme="minorEastAsia" w:hAnsiTheme="minorEastAsia" w:eastAsiaTheme="minorEastAsia"/>
                <w:color w:val="auto"/>
                <w:kern w:val="0"/>
                <w:szCs w:val="21"/>
                <w:highlight w:val="none"/>
                <w:lang w:val="zh-CN"/>
              </w:rPr>
              <w:t>项</w:t>
            </w:r>
          </w:p>
        </w:tc>
        <w:tc>
          <w:tcPr>
            <w:tcW w:w="664" w:type="dxa"/>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color w:val="auto"/>
                <w:szCs w:val="21"/>
                <w:highlight w:val="none"/>
              </w:rPr>
              <w:t>优先采购</w:t>
            </w:r>
          </w:p>
        </w:tc>
        <w:tc>
          <w:tcPr>
            <w:tcW w:w="1463" w:type="dxa"/>
            <w:vAlign w:val="center"/>
          </w:tcPr>
          <w:p>
            <w:pPr>
              <w:adjustRightInd w:val="0"/>
              <w:snapToGrid w:val="0"/>
              <w:spacing w:before="156" w:beforeLines="50" w:line="360" w:lineRule="auto"/>
              <w:jc w:val="center"/>
            </w:pPr>
            <w:r>
              <w:rPr>
                <w:rFonts w:hint="eastAsia" w:asciiTheme="minorEastAsia" w:hAnsiTheme="minorEastAsia" w:eastAsiaTheme="minorEastAsia"/>
                <w:color w:val="auto"/>
                <w:szCs w:val="21"/>
                <w:highlight w:val="none"/>
              </w:rPr>
              <w:t>节能产品或环境标志产品或两型产品</w:t>
            </w:r>
          </w:p>
        </w:tc>
        <w:tc>
          <w:tcPr>
            <w:tcW w:w="4961" w:type="dxa"/>
            <w:vAlign w:val="center"/>
          </w:tcPr>
          <w:p>
            <w:pPr>
              <w:adjustRightInd w:val="0"/>
              <w:snapToGrid w:val="0"/>
              <w:spacing w:line="360" w:lineRule="auto"/>
              <w:rPr>
                <w:rFonts w:hint="eastAsia" w:cs="Times New Roman"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color w:val="auto"/>
                <w:szCs w:val="21"/>
                <w:highlight w:val="none"/>
              </w:rPr>
              <w:t>政府采购强制采购节能产品</w:t>
            </w:r>
            <w:r>
              <w:rPr>
                <w:rFonts w:hint="eastAsia" w:cs="Times New Roman" w:asciiTheme="minorEastAsia" w:hAnsiTheme="minorEastAsia" w:eastAsiaTheme="minorEastAsia"/>
                <w:color w:val="auto"/>
                <w:szCs w:val="21"/>
                <w:highlight w:val="none"/>
                <w:lang w:eastAsia="zh-CN"/>
              </w:rPr>
              <w:t>：</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 否</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 是，采购《节能产品政府采购清单》(第  期) 内的产品。</w:t>
            </w:r>
          </w:p>
          <w:p>
            <w:pPr>
              <w:adjustRightInd w:val="0"/>
              <w:snapToGrid w:val="0"/>
              <w:spacing w:line="360" w:lineRule="auto"/>
              <w:rPr>
                <w:rFonts w:hint="eastAsia" w:cs="Times New Roman"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color w:val="auto"/>
                <w:szCs w:val="21"/>
                <w:highlight w:val="none"/>
              </w:rPr>
              <w:t>政府采购优先采购环境标志产品</w:t>
            </w:r>
            <w:r>
              <w:rPr>
                <w:rFonts w:hint="eastAsia" w:cs="Times New Roman" w:asciiTheme="minorEastAsia" w:hAnsiTheme="minorEastAsia" w:eastAsiaTheme="minorEastAsia"/>
                <w:color w:val="auto"/>
                <w:szCs w:val="21"/>
                <w:highlight w:val="none"/>
                <w:lang w:eastAsia="zh-CN"/>
              </w:rPr>
              <w:t>：</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□否</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■是，采购产品为《环境标志产品政府采购清单》(第  期)内的。</w:t>
            </w:r>
          </w:p>
          <w:p>
            <w:pPr>
              <w:adjustRightInd w:val="0"/>
              <w:snapToGrid w:val="0"/>
              <w:spacing w:line="360" w:lineRule="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1、采购产品为节能产品政府采购品目清单内非标记★符号的，对于技术和价格分，分别给予总分值4%的加分。</w:t>
            </w:r>
          </w:p>
          <w:p>
            <w:pPr>
              <w:adjustRightInd w:val="0"/>
              <w:snapToGrid w:val="0"/>
              <w:spacing w:line="360" w:lineRule="auto"/>
              <w:rPr>
                <w:rFonts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2、采购产品为环境标志产品政府品目清单内的：对于技术和价格分</w:t>
            </w:r>
            <w:r>
              <w:rPr>
                <w:rFonts w:hint="eastAsia" w:asciiTheme="minorEastAsia" w:hAnsiTheme="minorEastAsia" w:eastAsiaTheme="minorEastAsia"/>
                <w:color w:val="auto"/>
                <w:szCs w:val="21"/>
                <w:highlight w:val="none"/>
              </w:rPr>
              <w:t>，分别给予总分值4%的加分。</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3、采购产品为《湖南省政府采购两型产品目录》（最新发布批次）内的，对于技术和价格分，分别给予总分值4%的加分。</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说明：</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（1）优先采购同时属于“节能产品”、“环境标志产品”及“两型产品”的，评审时只有其中一项产品能享受优先采购优惠（投标人自行选择，并在投标文件中并填报相关信息及数据）。</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（2）小型和微型企业的价格评审优惠可以与同时属于“节能产品”、“环境标志产品”及“两型产品”中的一项优先采购优惠累加计算。</w:t>
            </w:r>
          </w:p>
          <w:p>
            <w:pPr>
              <w:adjustRightInd w:val="0"/>
              <w:snapToGrid w:val="0"/>
              <w:spacing w:line="360" w:lineRule="auto"/>
              <w:rPr>
                <w:szCs w:val="21"/>
              </w:rPr>
            </w:pPr>
            <w:r>
              <w:rPr>
                <w:rFonts w:hint="eastAsia" w:asciiTheme="minorEastAsia" w:hAnsiTheme="minorEastAsia" w:eastAsiaTheme="minorEastAsia"/>
                <w:color w:val="auto"/>
                <w:szCs w:val="21"/>
                <w:highlight w:val="none"/>
              </w:rPr>
              <w:t>（3）部分投标产品属于优先采购的，以及小型和微型企业的投标人代理部分小型和微型企业产品的，评审时只对该部分产品的报价实行价格扣除及加分。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adjustRightInd w:val="0"/>
              <w:snapToGrid w:val="0"/>
              <w:spacing w:before="156" w:beforeLines="50" w:line="360" w:lineRule="auto"/>
              <w:jc w:val="center"/>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第5.3（2）</w:t>
            </w:r>
            <w:r>
              <w:rPr>
                <w:rFonts w:hint="eastAsia" w:cs="宋体" w:asciiTheme="minorEastAsia" w:hAnsiTheme="minorEastAsia" w:eastAsiaTheme="minorEastAsia"/>
                <w:color w:val="auto"/>
                <w:kern w:val="0"/>
                <w:szCs w:val="21"/>
                <w:highlight w:val="none"/>
                <w:lang w:val="zh-CN"/>
              </w:rPr>
              <w:t>项</w:t>
            </w:r>
          </w:p>
        </w:tc>
        <w:tc>
          <w:tcPr>
            <w:tcW w:w="664" w:type="dxa"/>
            <w:vAlign w:val="center"/>
          </w:tcPr>
          <w:p>
            <w:pPr>
              <w:adjustRightInd w:val="0"/>
              <w:snapToGrid w:val="0"/>
              <w:spacing w:before="156" w:beforeLines="50" w:line="360" w:lineRule="auto"/>
              <w:jc w:val="center"/>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优先采购</w:t>
            </w:r>
          </w:p>
        </w:tc>
        <w:tc>
          <w:tcPr>
            <w:tcW w:w="1463" w:type="dxa"/>
            <w:vAlign w:val="center"/>
          </w:tcPr>
          <w:p>
            <w:pPr>
              <w:adjustRightInd w:val="0"/>
              <w:snapToGrid w:val="0"/>
              <w:spacing w:before="156" w:beforeLines="50" w:line="360" w:lineRule="auto"/>
              <w:jc w:val="center"/>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节能产品或环境标志产品或两型产品</w:t>
            </w:r>
          </w:p>
        </w:tc>
        <w:tc>
          <w:tcPr>
            <w:tcW w:w="4961" w:type="dxa"/>
            <w:vAlign w:val="center"/>
          </w:tcPr>
          <w:p>
            <w:pPr>
              <w:pStyle w:val="26"/>
              <w:adjustRightInd w:val="0"/>
              <w:snapToGrid w:val="0"/>
              <w:spacing w:line="360" w:lineRule="auto"/>
              <w:rPr>
                <w:rFonts w:hAnsi="宋体"/>
              </w:rPr>
            </w:pPr>
            <w:r>
              <w:rPr>
                <w:rFonts w:hint="eastAsia" w:hAnsi="宋体"/>
              </w:rPr>
              <w:t xml:space="preserve">① 节能产品（非强制采购）：对技术和价格分，分别给予总分值 </w:t>
            </w:r>
            <w:r>
              <w:rPr>
                <w:rFonts w:hint="eastAsia" w:hAnsi="宋体"/>
                <w:u w:val="single"/>
              </w:rPr>
              <w:t xml:space="preserve">4 </w:t>
            </w:r>
            <w:r>
              <w:rPr>
                <w:rFonts w:hint="eastAsia" w:hAnsi="宋体"/>
              </w:rPr>
              <w:t>%的加分；</w:t>
            </w:r>
          </w:p>
          <w:p>
            <w:pPr>
              <w:pStyle w:val="26"/>
              <w:adjustRightInd w:val="0"/>
              <w:snapToGrid w:val="0"/>
              <w:spacing w:line="360" w:lineRule="auto"/>
              <w:rPr>
                <w:rFonts w:hint="eastAsia" w:hAnsi="宋体"/>
              </w:rPr>
            </w:pPr>
            <w:r>
              <w:rPr>
                <w:rFonts w:hint="eastAsia" w:hAnsi="宋体"/>
              </w:rPr>
              <w:t>技术加分＝技术分值×4%×（节能产品报价÷总报价）；</w:t>
            </w:r>
          </w:p>
          <w:p>
            <w:pPr>
              <w:pStyle w:val="26"/>
              <w:adjustRightInd w:val="0"/>
              <w:snapToGrid w:val="0"/>
              <w:spacing w:line="360" w:lineRule="auto"/>
              <w:rPr>
                <w:rFonts w:hAnsi="宋体"/>
              </w:rPr>
            </w:pPr>
            <w:r>
              <w:rPr>
                <w:rFonts w:hint="eastAsia" w:hAnsi="宋体"/>
              </w:rPr>
              <w:t>价格加分＝价格分值×4%×（节能产品报价÷总报价）</w:t>
            </w:r>
          </w:p>
          <w:p>
            <w:pPr>
              <w:pStyle w:val="26"/>
              <w:adjustRightInd w:val="0"/>
              <w:snapToGrid w:val="0"/>
              <w:spacing w:line="360" w:lineRule="auto"/>
              <w:rPr>
                <w:rFonts w:hAnsi="宋体"/>
                <w:spacing w:val="17"/>
              </w:rPr>
            </w:pPr>
            <w:r>
              <w:rPr>
                <w:rFonts w:hint="eastAsia" w:hAnsi="宋体"/>
                <w:spacing w:val="17"/>
              </w:rPr>
              <w:t>② 环境标志产品：对技术和价格分，分别给予总分值</w:t>
            </w:r>
            <w:r>
              <w:rPr>
                <w:rFonts w:hint="eastAsia" w:hAnsi="宋体"/>
                <w:spacing w:val="17"/>
                <w:u w:val="single"/>
              </w:rPr>
              <w:t xml:space="preserve">4 </w:t>
            </w:r>
            <w:r>
              <w:rPr>
                <w:rFonts w:hint="eastAsia" w:hAnsi="宋体"/>
                <w:spacing w:val="17"/>
              </w:rPr>
              <w:t>%的加分；</w:t>
            </w:r>
          </w:p>
          <w:p>
            <w:pPr>
              <w:adjustRightInd w:val="0"/>
              <w:snapToGrid w:val="0"/>
              <w:spacing w:line="360" w:lineRule="auto"/>
              <w:rPr>
                <w:rFonts w:hint="eastAsia" w:ascii="宋体" w:hAnsi="宋体"/>
                <w:szCs w:val="21"/>
              </w:rPr>
            </w:pPr>
            <w:r>
              <w:rPr>
                <w:rFonts w:hint="eastAsia" w:ascii="宋体" w:hAnsi="宋体"/>
                <w:szCs w:val="21"/>
              </w:rPr>
              <w:t>技术加分＝技术分值×4%×（环境标志产品报价÷总报价）；</w:t>
            </w:r>
          </w:p>
          <w:p>
            <w:pPr>
              <w:adjustRightInd w:val="0"/>
              <w:snapToGrid w:val="0"/>
              <w:spacing w:line="360" w:lineRule="auto"/>
              <w:rPr>
                <w:rFonts w:hint="eastAsia" w:hAnsi="宋体"/>
              </w:rPr>
            </w:pPr>
            <w:r>
              <w:rPr>
                <w:rFonts w:hint="eastAsia" w:ascii="宋体" w:hAnsi="宋体"/>
                <w:szCs w:val="21"/>
              </w:rPr>
              <w:t>价格加分＝价格分值×4%×（环境标志产品报价÷总报价）。</w:t>
            </w:r>
          </w:p>
          <w:p>
            <w:pPr>
              <w:pStyle w:val="26"/>
              <w:adjustRightInd w:val="0"/>
              <w:snapToGrid w:val="0"/>
              <w:spacing w:line="360" w:lineRule="auto"/>
              <w:rPr>
                <w:rFonts w:hAnsi="宋体"/>
              </w:rPr>
            </w:pPr>
            <w:r>
              <w:rPr>
                <w:rFonts w:hint="eastAsia" w:hAnsi="宋体"/>
              </w:rPr>
              <w:t xml:space="preserve">③ 两型产品：对价格、技术和商务项分别给予对应报价总分值的 </w:t>
            </w:r>
            <w:r>
              <w:rPr>
                <w:rFonts w:hint="eastAsia" w:hAnsi="宋体"/>
                <w:u w:val="single"/>
              </w:rPr>
              <w:t xml:space="preserve">4 </w:t>
            </w:r>
            <w:r>
              <w:rPr>
                <w:rFonts w:hint="eastAsia" w:hAnsi="宋体"/>
              </w:rPr>
              <w:t>%的加分；</w:t>
            </w:r>
          </w:p>
          <w:p>
            <w:pPr>
              <w:adjustRightInd w:val="0"/>
              <w:snapToGrid w:val="0"/>
              <w:spacing w:line="360" w:lineRule="auto"/>
              <w:rPr>
                <w:rFonts w:ascii="宋体" w:hAnsi="宋体"/>
                <w:szCs w:val="21"/>
              </w:rPr>
            </w:pPr>
            <w:r>
              <w:rPr>
                <w:rFonts w:hint="eastAsia" w:ascii="宋体" w:hAnsi="宋体"/>
                <w:szCs w:val="21"/>
              </w:rPr>
              <w:t>价格加分＝价格分值×4</w:t>
            </w:r>
            <w:r>
              <w:rPr>
                <w:rFonts w:ascii="宋体" w:hAnsi="宋体"/>
                <w:szCs w:val="21"/>
              </w:rPr>
              <w:t>%</w:t>
            </w:r>
            <w:r>
              <w:rPr>
                <w:rFonts w:hint="eastAsia" w:ascii="宋体" w:hAnsi="宋体"/>
                <w:szCs w:val="21"/>
              </w:rPr>
              <w:t>×（两型产品报价÷总报价）；</w:t>
            </w:r>
          </w:p>
          <w:p>
            <w:pPr>
              <w:adjustRightInd w:val="0"/>
              <w:spacing w:line="360" w:lineRule="auto"/>
              <w:rPr>
                <w:rFonts w:hint="eastAsia" w:ascii="宋体" w:hAnsi="宋体" w:cs="宋体"/>
                <w:szCs w:val="21"/>
              </w:rPr>
            </w:pPr>
            <w:r>
              <w:rPr>
                <w:rFonts w:hint="eastAsia" w:ascii="宋体" w:hAnsi="宋体" w:cs="宋体"/>
                <w:szCs w:val="21"/>
              </w:rPr>
              <w:t>商务加分＝商务分值×</w:t>
            </w:r>
            <w:r>
              <w:rPr>
                <w:rFonts w:hint="eastAsia" w:ascii="宋体" w:hAnsi="宋体"/>
                <w:szCs w:val="21"/>
              </w:rPr>
              <w:t>4</w:t>
            </w:r>
            <w:r>
              <w:rPr>
                <w:rFonts w:ascii="宋体" w:hAnsi="宋体"/>
                <w:szCs w:val="21"/>
              </w:rPr>
              <w:t>%</w:t>
            </w:r>
            <w:r>
              <w:rPr>
                <w:rFonts w:hint="eastAsia" w:ascii="宋体" w:hAnsi="宋体" w:cs="宋体"/>
                <w:szCs w:val="21"/>
              </w:rPr>
              <w:t>×（两型产品报价÷总报价）；</w:t>
            </w:r>
          </w:p>
          <w:p>
            <w:pPr>
              <w:adjustRightInd w:val="0"/>
              <w:spacing w:line="360" w:lineRule="auto"/>
              <w:rPr>
                <w:rFonts w:hint="eastAsia" w:hAnsi="宋体"/>
              </w:rPr>
            </w:pPr>
            <w:r>
              <w:rPr>
                <w:rFonts w:hint="eastAsia" w:ascii="宋体" w:hAnsi="宋体" w:cs="宋体"/>
                <w:szCs w:val="21"/>
              </w:rPr>
              <w:t>技术加分＝技术分值×</w:t>
            </w:r>
            <w:r>
              <w:rPr>
                <w:rFonts w:hint="eastAsia" w:ascii="宋体" w:hAnsi="宋体"/>
                <w:szCs w:val="21"/>
              </w:rPr>
              <w:t>4</w:t>
            </w:r>
            <w:r>
              <w:rPr>
                <w:rFonts w:ascii="宋体" w:hAnsi="宋体"/>
                <w:szCs w:val="21"/>
              </w:rPr>
              <w:t>%</w:t>
            </w:r>
            <w:r>
              <w:rPr>
                <w:rFonts w:hint="eastAsia" w:ascii="宋体" w:hAnsi="宋体" w:cs="宋体"/>
                <w:szCs w:val="21"/>
              </w:rPr>
              <w:t>×（两型产品报价÷总报价）</w:t>
            </w:r>
            <w:r>
              <w:rPr>
                <w:rFonts w:hint="eastAsia" w:hAnsi="宋体"/>
              </w:rPr>
              <w:t>。</w:t>
            </w:r>
          </w:p>
          <w:p>
            <w:pPr>
              <w:adjustRightInd w:val="0"/>
              <w:snapToGrid w:val="0"/>
              <w:spacing w:line="360" w:lineRule="auto"/>
              <w:rPr>
                <w:rFonts w:hint="eastAsia" w:asciiTheme="minorEastAsia" w:hAnsiTheme="minorEastAsia" w:eastAsiaTheme="minorEastAsia"/>
                <w:color w:val="auto"/>
                <w:szCs w:val="21"/>
                <w:highlight w:val="none"/>
              </w:rPr>
            </w:pPr>
            <w:r>
              <w:rPr>
                <w:rFonts w:hint="eastAsia" w:hAnsi="宋体"/>
              </w:rPr>
              <w:t>上述三类产品中取其中一类。</w:t>
            </w:r>
          </w:p>
        </w:tc>
      </w:tr>
    </w:tbl>
    <w:p>
      <w:pPr>
        <w:adjustRightInd w:val="0"/>
        <w:snapToGrid w:val="0"/>
        <w:spacing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注：优先采购加分的详细计算规则见第二章第</w:t>
      </w:r>
      <w:r>
        <w:rPr>
          <w:rFonts w:asciiTheme="minorEastAsia" w:hAnsiTheme="minorEastAsia" w:eastAsiaTheme="minorEastAsia"/>
          <w:szCs w:val="21"/>
        </w:rPr>
        <w:t>3</w:t>
      </w: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5款、第34.6款规定。</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8"/>
        <w:keepNext w:val="0"/>
        <w:keepLines w:val="0"/>
        <w:adjustRightInd w:val="0"/>
        <w:snapToGrid w:val="0"/>
        <w:spacing w:before="156" w:beforeLines="50"/>
        <w:jc w:val="center"/>
        <w:rPr>
          <w:rFonts w:asciiTheme="minorEastAsia" w:hAnsiTheme="minorEastAsia" w:eastAsiaTheme="minorEastAsia"/>
          <w:color w:val="auto"/>
          <w:sz w:val="28"/>
          <w:szCs w:val="28"/>
          <w:highlight w:val="none"/>
        </w:rPr>
      </w:pPr>
      <w:bookmarkStart w:id="110" w:name="_Toc24661"/>
      <w:bookmarkStart w:id="111" w:name="_Toc17697"/>
      <w:bookmarkStart w:id="112" w:name="_Toc20651215"/>
      <w:bookmarkStart w:id="113" w:name="_Toc25760"/>
      <w:bookmarkStart w:id="114" w:name="_Toc5279"/>
      <w:bookmarkStart w:id="115" w:name="_Toc13678"/>
      <w:r>
        <w:rPr>
          <w:rFonts w:hint="eastAsia" w:asciiTheme="minorEastAsia" w:hAnsiTheme="minorEastAsia" w:eastAsiaTheme="minorEastAsia"/>
          <w:color w:val="auto"/>
          <w:sz w:val="28"/>
          <w:szCs w:val="28"/>
          <w:highlight w:val="none"/>
        </w:rPr>
        <w:t>第二节 评标方法及标准</w:t>
      </w:r>
      <w:bookmarkEnd w:id="110"/>
      <w:bookmarkEnd w:id="111"/>
      <w:bookmarkEnd w:id="112"/>
      <w:bookmarkEnd w:id="113"/>
      <w:bookmarkEnd w:id="114"/>
      <w:bookmarkEnd w:id="115"/>
    </w:p>
    <w:p>
      <w:pPr>
        <w:pStyle w:val="9"/>
        <w:keepNext w:val="0"/>
        <w:keepLines w:val="0"/>
        <w:adjustRightInd w:val="0"/>
        <w:snapToGrid w:val="0"/>
        <w:spacing w:before="156" w:beforeLines="50" w:after="0" w:line="360" w:lineRule="auto"/>
        <w:rPr>
          <w:rFonts w:asciiTheme="minorEastAsia" w:hAnsiTheme="minorEastAsia" w:eastAsiaTheme="minorEastAsia"/>
          <w:color w:val="auto"/>
          <w:sz w:val="24"/>
          <w:szCs w:val="24"/>
          <w:highlight w:val="none"/>
        </w:rPr>
      </w:pPr>
      <w:bookmarkStart w:id="116" w:name="_Toc26503"/>
      <w:bookmarkStart w:id="117" w:name="_Toc7053"/>
      <w:bookmarkStart w:id="118" w:name="_Toc122"/>
      <w:bookmarkStart w:id="119" w:name="_Toc20651216"/>
      <w:bookmarkStart w:id="120" w:name="_Toc6974"/>
      <w:bookmarkStart w:id="121" w:name="_Toc7115"/>
      <w:r>
        <w:rPr>
          <w:rFonts w:hint="eastAsia" w:asciiTheme="minorEastAsia" w:hAnsiTheme="minorEastAsia" w:eastAsiaTheme="minorEastAsia"/>
          <w:color w:val="auto"/>
          <w:sz w:val="24"/>
          <w:szCs w:val="24"/>
          <w:highlight w:val="none"/>
        </w:rPr>
        <w:t>1．评标方法</w:t>
      </w:r>
      <w:bookmarkEnd w:id="116"/>
      <w:bookmarkEnd w:id="117"/>
      <w:bookmarkEnd w:id="118"/>
      <w:bookmarkEnd w:id="119"/>
      <w:bookmarkEnd w:id="120"/>
      <w:bookmarkEnd w:id="121"/>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1.2最低评标价，是指投标文件满足招标文件全部实质性要求，且投标报价最低的投标人为中标候选人的评标方法。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1.3本采购项目评标方法见本章第一节“评标规范前附表”（以下简称</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color w:val="auto"/>
          <w:szCs w:val="21"/>
          <w:highlight w:val="none"/>
        </w:rPr>
        <w:t>。</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22" w:name="_Toc11822"/>
      <w:bookmarkStart w:id="123" w:name="_Toc4151"/>
      <w:bookmarkStart w:id="124" w:name="_Toc20651217"/>
      <w:bookmarkStart w:id="125" w:name="_Toc9170"/>
      <w:bookmarkStart w:id="126" w:name="_Toc25700"/>
      <w:bookmarkStart w:id="127" w:name="_Toc10795"/>
      <w:r>
        <w:rPr>
          <w:rFonts w:hint="eastAsia" w:asciiTheme="minorEastAsia" w:hAnsiTheme="minorEastAsia" w:eastAsiaTheme="minorEastAsia"/>
          <w:bCs w:val="0"/>
          <w:color w:val="auto"/>
          <w:sz w:val="24"/>
          <w:szCs w:val="24"/>
          <w:highlight w:val="none"/>
        </w:rPr>
        <w:t>2．评标程序</w:t>
      </w:r>
      <w:bookmarkEnd w:id="122"/>
      <w:bookmarkEnd w:id="123"/>
      <w:bookmarkEnd w:id="124"/>
      <w:bookmarkEnd w:id="125"/>
      <w:bookmarkEnd w:id="126"/>
      <w:bookmarkEnd w:id="127"/>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2.1评标程序分为投标文件符合性审查、澄清有关问题、比较和评价、推荐中标候选人。</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28" w:name="_Toc22212"/>
      <w:bookmarkStart w:id="129" w:name="_Toc20651218"/>
      <w:bookmarkStart w:id="130" w:name="_Toc20291"/>
      <w:bookmarkStart w:id="131" w:name="_Toc5947"/>
      <w:bookmarkStart w:id="132" w:name="_Toc8794"/>
      <w:bookmarkStart w:id="133" w:name="_Toc7019"/>
      <w:r>
        <w:rPr>
          <w:rFonts w:hint="eastAsia" w:asciiTheme="minorEastAsia" w:hAnsiTheme="minorEastAsia" w:eastAsiaTheme="minorEastAsia"/>
          <w:bCs w:val="0"/>
          <w:color w:val="auto"/>
          <w:sz w:val="24"/>
          <w:szCs w:val="24"/>
          <w:highlight w:val="none"/>
        </w:rPr>
        <w:t>3．投标文件的符合性审查</w:t>
      </w:r>
      <w:bookmarkEnd w:id="128"/>
      <w:bookmarkEnd w:id="129"/>
      <w:bookmarkEnd w:id="130"/>
      <w:bookmarkEnd w:id="131"/>
      <w:bookmarkEnd w:id="132"/>
      <w:bookmarkEnd w:id="133"/>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3.1资格审查结束后，评标委员会依法按照本章第三节“投标文件的符合性审查”规定进行投标文件符合性。</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3.2符合性审查合格投标人少于3家的，应予废标。</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3.3单一产品采购项目：提供相同品牌产品的不同投标人参加同一合同项下投标的，按一家投标人计算。提供不同品牌产品的投标人不足三家的，应予废标。</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3.4非单一产品采购项目：采购人或者采购代理机构将在</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color w:val="auto"/>
          <w:szCs w:val="21"/>
          <w:highlight w:val="none"/>
        </w:rPr>
        <w:t>中载明核心产品。多家投标人提供的核心产品品牌相同的，视为相同品牌，按本章本节第3.3款规定处理。</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34" w:name="_Toc24343"/>
      <w:bookmarkStart w:id="135" w:name="_Toc27018"/>
      <w:bookmarkStart w:id="136" w:name="_Toc28129"/>
      <w:bookmarkStart w:id="137" w:name="_Toc6061"/>
      <w:bookmarkStart w:id="138" w:name="_Toc20651219"/>
      <w:bookmarkStart w:id="139" w:name="_Toc2908"/>
      <w:r>
        <w:rPr>
          <w:rFonts w:hint="eastAsia" w:asciiTheme="minorEastAsia" w:hAnsiTheme="minorEastAsia" w:eastAsiaTheme="minorEastAsia"/>
          <w:bCs w:val="0"/>
          <w:color w:val="auto"/>
          <w:sz w:val="24"/>
          <w:szCs w:val="24"/>
          <w:highlight w:val="none"/>
        </w:rPr>
        <w:t>4．投标文件的澄清</w:t>
      </w:r>
      <w:bookmarkEnd w:id="134"/>
      <w:bookmarkEnd w:id="135"/>
      <w:bookmarkEnd w:id="136"/>
      <w:bookmarkEnd w:id="137"/>
      <w:bookmarkEnd w:id="138"/>
      <w:bookmarkEnd w:id="139"/>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4.1对于投标文件中含义不明确、同类问题表述不一致或者有明显文字和计算错误的内容，评标委员会应当以书面形式要求投标人作出必要的澄清、说明或者补正。</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4.2投标文件的投标报价出现前后不一致的，除</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color w:val="auto"/>
          <w:szCs w:val="21"/>
          <w:highlight w:val="none"/>
        </w:rPr>
        <w:t>另有规定外，按照下列规定修正：</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（1）投标文件中开标一览表内容与投标文件中相应内容不一致的，以开标一览表为准；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（2）大写金额和小写金额不一致的，以大写金额为准；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（3）单价金额小数点或者百分比有明显错位的，以开标一览表的总价为准，并修改单价；</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（4）总价金额与按单价汇总金额不一致的，以单价金额计算结果为准。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4.3投标文件报价同时出现两种以上不一致的，按照前款规定的顺序修正。修正后的报价由投标人代表签字或者加盖单位章确认后产生约束力，投标人不确认的，其投标无效。</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4.5有效的书面澄清材料，是投标文件的补充材料，成为投标文件的组成部分。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40" w:name="_Toc26125"/>
      <w:bookmarkStart w:id="141" w:name="_Toc15475"/>
      <w:bookmarkStart w:id="142" w:name="_Toc24168"/>
      <w:bookmarkStart w:id="143" w:name="_Toc21512"/>
      <w:bookmarkStart w:id="144" w:name="_Toc9765"/>
      <w:bookmarkStart w:id="145" w:name="_Toc20651220"/>
      <w:r>
        <w:rPr>
          <w:rFonts w:hint="eastAsia" w:asciiTheme="minorEastAsia" w:hAnsiTheme="minorEastAsia" w:eastAsiaTheme="minorEastAsia"/>
          <w:bCs w:val="0"/>
          <w:color w:val="auto"/>
          <w:sz w:val="24"/>
          <w:szCs w:val="24"/>
          <w:highlight w:val="none"/>
        </w:rPr>
        <w:t>5．投标文件的比较与评价</w:t>
      </w:r>
      <w:bookmarkEnd w:id="140"/>
      <w:bookmarkEnd w:id="141"/>
      <w:bookmarkEnd w:id="142"/>
      <w:bookmarkEnd w:id="143"/>
      <w:bookmarkEnd w:id="144"/>
      <w:bookmarkEnd w:id="145"/>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5.1评标委员会依法按照本章第三节“投标文件的比较与评价”规定，对资格性检查和符合性检查合格的投标文件进行比较和评价。</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5.2单一产品采购项目：</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（1）最低评标价法：</w:t>
      </w:r>
      <w:r>
        <w:rPr>
          <w:rFonts w:hint="eastAsia" w:asciiTheme="minorEastAsia" w:hAnsiTheme="minorEastAsia" w:eastAsiaTheme="minorEastAsia"/>
          <w:bCs/>
          <w:color w:val="auto"/>
          <w:szCs w:val="21"/>
          <w:highlight w:val="none"/>
        </w:rPr>
        <w:t>提供相同品牌产品的不同投标人参加同一合同项下投标的，以其中通过资格审查、符合性审查且报价最低的参加评标，其他投标无效；报价相同的，按照</w:t>
      </w:r>
      <w:r>
        <w:rPr>
          <w:rFonts w:hint="eastAsia" w:asciiTheme="minorEastAsia" w:hAnsiTheme="minorEastAsia" w:eastAsiaTheme="minorEastAsia"/>
          <w:b/>
          <w:bCs/>
          <w:color w:val="auto"/>
          <w:szCs w:val="21"/>
          <w:highlight w:val="none"/>
        </w:rPr>
        <w:t>【评标方法及标准前附表】</w:t>
      </w:r>
      <w:r>
        <w:rPr>
          <w:rFonts w:hint="eastAsia" w:asciiTheme="minorEastAsia" w:hAnsiTheme="minorEastAsia" w:eastAsiaTheme="minorEastAsia"/>
          <w:bCs/>
          <w:color w:val="auto"/>
          <w:szCs w:val="21"/>
          <w:highlight w:val="none"/>
        </w:rPr>
        <w:t>规定的方式确定一个参加评标的投标人，招标文件未规定的采取随机抽取方式确定，其他</w:t>
      </w:r>
      <w:r>
        <w:rPr>
          <w:rFonts w:hint="eastAsia" w:asciiTheme="minorEastAsia" w:hAnsiTheme="minorEastAsia" w:eastAsiaTheme="minorEastAsia"/>
          <w:b/>
          <w:bCs/>
          <w:color w:val="auto"/>
          <w:szCs w:val="21"/>
          <w:highlight w:val="none"/>
        </w:rPr>
        <w:t>投标无效</w:t>
      </w:r>
      <w:r>
        <w:rPr>
          <w:rFonts w:hint="eastAsia" w:asciiTheme="minorEastAsia" w:hAnsiTheme="minorEastAsia" w:eastAsiaTheme="minorEastAsia"/>
          <w:bCs/>
          <w:color w:val="auto"/>
          <w:szCs w:val="21"/>
          <w:highlight w:val="none"/>
        </w:rPr>
        <w:t>。</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（2）综合评分法：提供相同品牌产品且通过资格审查、符合性审查的不同投标人参加同一合同项下投标的，评审后得分最高的同品牌投标人获得中标人推荐资格；评审得分相同的，按照</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color w:val="auto"/>
          <w:szCs w:val="21"/>
          <w:highlight w:val="none"/>
        </w:rPr>
        <w:t>规定的方式确定一个投标人获得中标人推荐资格，招标文件未规定的采取随机抽取方式确定，其他同品牌投标人</w:t>
      </w:r>
      <w:r>
        <w:rPr>
          <w:rFonts w:hint="eastAsia" w:asciiTheme="minorEastAsia" w:hAnsiTheme="minorEastAsia" w:eastAsiaTheme="minorEastAsia"/>
          <w:b/>
          <w:color w:val="auto"/>
          <w:szCs w:val="21"/>
          <w:highlight w:val="none"/>
        </w:rPr>
        <w:t>不作为中标候选人</w:t>
      </w:r>
      <w:r>
        <w:rPr>
          <w:rFonts w:hint="eastAsia" w:asciiTheme="minorEastAsia" w:hAnsiTheme="minorEastAsia" w:eastAsiaTheme="minorEastAsia"/>
          <w:color w:val="auto"/>
          <w:szCs w:val="21"/>
          <w:highlight w:val="none"/>
        </w:rPr>
        <w:t>。</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5.3非单一产品采购项目：多家投标人提供的核心产品品牌相同的，视为相同品牌，按本章本节第 5.2 款规定处理。</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5.3政府采购政策：</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bCs/>
          <w:color w:val="auto"/>
          <w:szCs w:val="21"/>
          <w:highlight w:val="none"/>
        </w:rPr>
        <w:t>价格评审优惠：</w:t>
      </w:r>
      <w:r>
        <w:rPr>
          <w:rFonts w:hint="eastAsia" w:asciiTheme="minorEastAsia" w:hAnsiTheme="minorEastAsia" w:eastAsiaTheme="minorEastAsia"/>
          <w:color w:val="auto"/>
          <w:szCs w:val="21"/>
          <w:highlight w:val="none"/>
        </w:rPr>
        <w:t>按</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color w:val="auto"/>
          <w:szCs w:val="21"/>
          <w:highlight w:val="none"/>
        </w:rPr>
        <w:t>及第二章“投标须知”的相关规定给予一定的价格折扣。</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（2）优先采购：</w:t>
      </w:r>
      <w:r>
        <w:rPr>
          <w:rFonts w:hint="eastAsia" w:asciiTheme="minorEastAsia" w:hAnsiTheme="minorEastAsia" w:eastAsiaTheme="minorEastAsia"/>
          <w:bCs/>
          <w:color w:val="auto"/>
          <w:szCs w:val="21"/>
          <w:highlight w:val="none"/>
        </w:rPr>
        <w:t>评审时按</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bCs/>
          <w:color w:val="auto"/>
          <w:szCs w:val="21"/>
          <w:highlight w:val="none"/>
        </w:rPr>
        <w:t>及第二章</w:t>
      </w:r>
      <w:r>
        <w:rPr>
          <w:rFonts w:hint="eastAsia" w:asciiTheme="minorEastAsia" w:hAnsiTheme="minorEastAsia" w:eastAsiaTheme="minorEastAsia"/>
          <w:color w:val="auto"/>
          <w:szCs w:val="21"/>
          <w:highlight w:val="none"/>
        </w:rPr>
        <w:t>“投标须知”</w:t>
      </w:r>
      <w:r>
        <w:rPr>
          <w:rFonts w:hint="eastAsia" w:asciiTheme="minorEastAsia" w:hAnsiTheme="minorEastAsia" w:eastAsiaTheme="minorEastAsia"/>
          <w:bCs/>
          <w:color w:val="auto"/>
          <w:szCs w:val="21"/>
          <w:highlight w:val="none"/>
        </w:rPr>
        <w:t>的相关规定给予价格折扣或者加分。</w:t>
      </w:r>
    </w:p>
    <w:p>
      <w:pPr>
        <w:pStyle w:val="9"/>
        <w:keepNext w:val="0"/>
        <w:keepLines w:val="0"/>
        <w:adjustRightInd w:val="0"/>
        <w:snapToGrid w:val="0"/>
        <w:spacing w:before="156" w:beforeLines="50" w:after="0" w:line="360" w:lineRule="auto"/>
        <w:rPr>
          <w:rFonts w:asciiTheme="minorEastAsia" w:hAnsiTheme="minorEastAsia" w:eastAsiaTheme="minorEastAsia"/>
          <w:color w:val="auto"/>
          <w:sz w:val="24"/>
          <w:szCs w:val="24"/>
          <w:highlight w:val="none"/>
        </w:rPr>
      </w:pPr>
      <w:bookmarkStart w:id="146" w:name="_Toc3105"/>
      <w:bookmarkStart w:id="147" w:name="_Toc30938"/>
      <w:bookmarkStart w:id="148" w:name="_Toc7216"/>
      <w:bookmarkStart w:id="149" w:name="_Toc16352"/>
      <w:bookmarkStart w:id="150" w:name="_Toc20651221"/>
      <w:bookmarkStart w:id="151" w:name="_Toc8025"/>
      <w:r>
        <w:rPr>
          <w:rFonts w:hint="eastAsia" w:asciiTheme="minorEastAsia" w:hAnsiTheme="minorEastAsia" w:eastAsiaTheme="minorEastAsia"/>
          <w:bCs w:val="0"/>
          <w:color w:val="auto"/>
          <w:sz w:val="24"/>
          <w:szCs w:val="24"/>
          <w:highlight w:val="none"/>
        </w:rPr>
        <w:t>6．</w:t>
      </w:r>
      <w:r>
        <w:rPr>
          <w:rFonts w:hint="eastAsia" w:asciiTheme="minorEastAsia" w:hAnsiTheme="minorEastAsia" w:eastAsiaTheme="minorEastAsia"/>
          <w:color w:val="auto"/>
          <w:sz w:val="24"/>
          <w:szCs w:val="24"/>
          <w:highlight w:val="none"/>
        </w:rPr>
        <w:t>推荐中标候选人</w:t>
      </w:r>
      <w:bookmarkEnd w:id="146"/>
      <w:bookmarkEnd w:id="147"/>
      <w:bookmarkEnd w:id="148"/>
      <w:bookmarkEnd w:id="149"/>
      <w:bookmarkEnd w:id="150"/>
      <w:bookmarkEnd w:id="151"/>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6.1最低评标价法：</w:t>
      </w:r>
      <w:r>
        <w:rPr>
          <w:rFonts w:hint="eastAsia" w:asciiTheme="minorEastAsia" w:hAnsiTheme="minorEastAsia" w:eastAsiaTheme="minorEastAsia"/>
          <w:bCs/>
          <w:color w:val="auto"/>
          <w:szCs w:val="21"/>
          <w:highlight w:val="none"/>
        </w:rPr>
        <w:t>评标结果按算术修正和落实政府采购政策需进行的价格扣除后的投标报价由低到高顺序排列。报价相同的并列，按</w:t>
      </w:r>
      <w:r>
        <w:rPr>
          <w:rFonts w:hint="eastAsia" w:asciiTheme="minorEastAsia" w:hAnsiTheme="minorEastAsia" w:eastAsiaTheme="minorEastAsia"/>
          <w:b/>
          <w:color w:val="auto"/>
          <w:szCs w:val="21"/>
          <w:highlight w:val="none"/>
        </w:rPr>
        <w:t>【评标方法及标准前附表】</w:t>
      </w:r>
      <w:r>
        <w:rPr>
          <w:rFonts w:hint="eastAsia" w:asciiTheme="minorEastAsia" w:hAnsiTheme="minorEastAsia" w:eastAsiaTheme="minorEastAsia"/>
          <w:color w:val="auto"/>
          <w:szCs w:val="21"/>
          <w:highlight w:val="none"/>
        </w:rPr>
        <w:t>规定的方式确定中标人；</w:t>
      </w:r>
      <w:r>
        <w:rPr>
          <w:rFonts w:hint="eastAsia" w:asciiTheme="minorEastAsia" w:hAnsiTheme="minorEastAsia" w:eastAsiaTheme="minorEastAsia"/>
          <w:bCs/>
          <w:color w:val="auto"/>
          <w:szCs w:val="21"/>
          <w:highlight w:val="none"/>
        </w:rPr>
        <w:t>招标文件未规定的，采取随机抽取的方式确定。</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6.2综合评分法：评标结果按评审后得分由高到低顺序排列。得分相同的，按投标报价由低到高顺序排列。得分且投标报价相同的并列，按</w:t>
      </w:r>
      <w:r>
        <w:rPr>
          <w:rFonts w:hint="eastAsia" w:asciiTheme="minorEastAsia" w:hAnsiTheme="minorEastAsia" w:eastAsiaTheme="minorEastAsia"/>
          <w:b/>
          <w:bCs/>
          <w:color w:val="auto"/>
          <w:szCs w:val="21"/>
          <w:highlight w:val="none"/>
        </w:rPr>
        <w:t>【评标方法及标准前附表】</w:t>
      </w:r>
      <w:r>
        <w:rPr>
          <w:rFonts w:hint="eastAsia" w:asciiTheme="minorEastAsia" w:hAnsiTheme="minorEastAsia" w:eastAsiaTheme="minorEastAsia"/>
          <w:bCs/>
          <w:color w:val="auto"/>
          <w:szCs w:val="21"/>
          <w:highlight w:val="none"/>
        </w:rPr>
        <w:t>规定的方式确定中标人；招标文件未规定的，采取随机抽取的方式确定。</w:t>
      </w:r>
    </w:p>
    <w:p>
      <w:pPr>
        <w:pStyle w:val="9"/>
        <w:keepNext w:val="0"/>
        <w:keepLines w:val="0"/>
        <w:adjustRightInd w:val="0"/>
        <w:snapToGrid w:val="0"/>
        <w:spacing w:before="156" w:beforeLines="50" w:after="0" w:line="360" w:lineRule="auto"/>
        <w:rPr>
          <w:rFonts w:asciiTheme="minorEastAsia" w:hAnsiTheme="minorEastAsia" w:eastAsiaTheme="minorEastAsia"/>
          <w:color w:val="auto"/>
          <w:sz w:val="24"/>
          <w:szCs w:val="24"/>
          <w:highlight w:val="none"/>
        </w:rPr>
      </w:pPr>
      <w:bookmarkStart w:id="152" w:name="_Toc20651222"/>
      <w:bookmarkStart w:id="153" w:name="_Toc3062"/>
      <w:bookmarkStart w:id="154" w:name="_Toc12423"/>
      <w:bookmarkStart w:id="155" w:name="_Toc9381"/>
      <w:bookmarkStart w:id="156" w:name="_Toc7436"/>
      <w:bookmarkStart w:id="157" w:name="_Toc4337"/>
      <w:r>
        <w:rPr>
          <w:rFonts w:hint="eastAsia" w:asciiTheme="minorEastAsia" w:hAnsiTheme="minorEastAsia" w:eastAsiaTheme="minorEastAsia"/>
          <w:bCs w:val="0"/>
          <w:color w:val="auto"/>
          <w:sz w:val="24"/>
          <w:szCs w:val="24"/>
          <w:highlight w:val="none"/>
        </w:rPr>
        <w:t>7．</w:t>
      </w:r>
      <w:r>
        <w:rPr>
          <w:rFonts w:hint="eastAsia" w:asciiTheme="minorEastAsia" w:hAnsiTheme="minorEastAsia" w:eastAsiaTheme="minorEastAsia"/>
          <w:color w:val="auto"/>
          <w:sz w:val="24"/>
          <w:szCs w:val="24"/>
          <w:highlight w:val="none"/>
        </w:rPr>
        <w:t>编写评标报告</w:t>
      </w:r>
      <w:bookmarkEnd w:id="152"/>
      <w:bookmarkEnd w:id="153"/>
      <w:bookmarkEnd w:id="154"/>
      <w:bookmarkEnd w:id="155"/>
      <w:bookmarkEnd w:id="156"/>
      <w:bookmarkEnd w:id="157"/>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7.1评标</w:t>
      </w:r>
      <w:r>
        <w:rPr>
          <w:rFonts w:hint="eastAsia" w:asciiTheme="minorEastAsia" w:hAnsiTheme="minorEastAsia" w:eastAsiaTheme="minorEastAsia"/>
          <w:bCs/>
          <w:color w:val="auto"/>
          <w:szCs w:val="21"/>
          <w:highlight w:val="none"/>
        </w:rPr>
        <w:t>委员会</w:t>
      </w:r>
      <w:r>
        <w:rPr>
          <w:rFonts w:hint="eastAsia" w:asciiTheme="minorEastAsia" w:hAnsiTheme="minorEastAsia" w:eastAsiaTheme="minorEastAsia"/>
          <w:color w:val="auto"/>
          <w:szCs w:val="21"/>
          <w:highlight w:val="none"/>
        </w:rPr>
        <w:t>根据全体评标成员签字的原始评标记录和评标结果编写评标报告。</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7.2</w:t>
      </w:r>
      <w:r>
        <w:rPr>
          <w:rFonts w:hint="eastAsia" w:asciiTheme="minorEastAsia" w:hAnsiTheme="minorEastAsia" w:eastAsiaTheme="minorEastAsia"/>
          <w:bCs/>
          <w:color w:val="auto"/>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58" w:name="_Toc20651223"/>
      <w:bookmarkStart w:id="159" w:name="_Toc31652"/>
      <w:bookmarkStart w:id="160" w:name="_Toc31893"/>
      <w:bookmarkStart w:id="161" w:name="_Toc28465"/>
      <w:bookmarkStart w:id="162" w:name="_Toc28149"/>
      <w:bookmarkStart w:id="163" w:name="_Toc23614"/>
      <w:r>
        <w:rPr>
          <w:rFonts w:hint="eastAsia" w:asciiTheme="minorEastAsia" w:hAnsiTheme="minorEastAsia" w:eastAsiaTheme="minorEastAsia"/>
          <w:bCs w:val="0"/>
          <w:color w:val="auto"/>
          <w:sz w:val="24"/>
          <w:szCs w:val="24"/>
          <w:highlight w:val="none"/>
        </w:rPr>
        <w:t>8．</w:t>
      </w:r>
      <w:r>
        <w:rPr>
          <w:rFonts w:hint="eastAsia" w:asciiTheme="minorEastAsia" w:hAnsiTheme="minorEastAsia" w:eastAsiaTheme="minorEastAsia"/>
          <w:color w:val="auto"/>
          <w:sz w:val="24"/>
          <w:szCs w:val="24"/>
          <w:highlight w:val="none"/>
        </w:rPr>
        <w:t>评标报告</w:t>
      </w:r>
      <w:r>
        <w:rPr>
          <w:rFonts w:hint="eastAsia" w:asciiTheme="minorEastAsia" w:hAnsiTheme="minorEastAsia" w:eastAsiaTheme="minorEastAsia"/>
          <w:bCs w:val="0"/>
          <w:color w:val="auto"/>
          <w:sz w:val="24"/>
          <w:szCs w:val="24"/>
          <w:highlight w:val="none"/>
        </w:rPr>
        <w:t>复核</w:t>
      </w:r>
      <w:bookmarkEnd w:id="158"/>
      <w:bookmarkEnd w:id="159"/>
      <w:bookmarkEnd w:id="160"/>
      <w:bookmarkEnd w:id="161"/>
      <w:bookmarkEnd w:id="162"/>
      <w:bookmarkEnd w:id="163"/>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8.1汇总结束后，评标委员会应当进行复核，特别要对拟推荐为中标候选供应商的、报价最低的、投标文件被认定为无效的进行重点复核。</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8.2汇总完成后，除下列情形外，任何人不得修改评标结果：</w:t>
      </w:r>
    </w:p>
    <w:p>
      <w:pPr>
        <w:adjustRightInd w:val="0"/>
        <w:snapToGrid w:val="0"/>
        <w:spacing w:before="156" w:beforeLines="5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（1）分值汇总计算错误的；</w:t>
      </w:r>
    </w:p>
    <w:p>
      <w:pPr>
        <w:adjustRightInd w:val="0"/>
        <w:snapToGrid w:val="0"/>
        <w:spacing w:before="156" w:beforeLines="5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（2）分项评分超出评分标准范围的；</w:t>
      </w:r>
    </w:p>
    <w:p>
      <w:pPr>
        <w:adjustRightInd w:val="0"/>
        <w:snapToGrid w:val="0"/>
        <w:spacing w:before="156" w:beforeLines="5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（3）评标委员会成员对客观评审因素评分不一致的；</w:t>
      </w:r>
    </w:p>
    <w:p>
      <w:pPr>
        <w:adjustRightInd w:val="0"/>
        <w:snapToGrid w:val="0"/>
        <w:spacing w:before="156" w:beforeLines="5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（4）经评标委员会认定评分畸高、畸低的。</w:t>
      </w:r>
    </w:p>
    <w:p>
      <w:pPr>
        <w:adjustRightInd w:val="0"/>
        <w:snapToGrid w:val="0"/>
        <w:spacing w:before="156" w:beforeLines="50" w:line="360" w:lineRule="auto"/>
        <w:ind w:firstLine="420" w:firstLineChars="200"/>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bCs/>
          <w:color w:val="auto"/>
          <w:szCs w:val="21"/>
          <w:highlight w:val="none"/>
        </w:rPr>
        <w:t>8.3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64" w:name="_Toc11591"/>
      <w:bookmarkStart w:id="165" w:name="_Toc7388"/>
      <w:bookmarkStart w:id="166" w:name="_Toc20651224"/>
      <w:bookmarkStart w:id="167" w:name="_Toc8713"/>
      <w:bookmarkStart w:id="168" w:name="_Toc4491"/>
      <w:bookmarkStart w:id="169" w:name="_Toc8270"/>
      <w:r>
        <w:rPr>
          <w:rFonts w:hint="eastAsia" w:asciiTheme="minorEastAsia" w:hAnsiTheme="minorEastAsia" w:eastAsiaTheme="minorEastAsia"/>
          <w:color w:val="auto"/>
          <w:sz w:val="24"/>
          <w:szCs w:val="24"/>
          <w:highlight w:val="none"/>
        </w:rPr>
        <w:t>9．</w:t>
      </w:r>
      <w:r>
        <w:rPr>
          <w:rFonts w:hint="eastAsia" w:asciiTheme="minorEastAsia" w:hAnsiTheme="minorEastAsia" w:eastAsiaTheme="minorEastAsia"/>
          <w:bCs w:val="0"/>
          <w:color w:val="auto"/>
          <w:sz w:val="24"/>
          <w:szCs w:val="24"/>
          <w:highlight w:val="none"/>
        </w:rPr>
        <w:t>停止评标</w:t>
      </w:r>
      <w:bookmarkEnd w:id="164"/>
      <w:bookmarkEnd w:id="165"/>
      <w:bookmarkEnd w:id="166"/>
      <w:bookmarkEnd w:id="167"/>
      <w:bookmarkEnd w:id="168"/>
      <w:bookmarkEnd w:id="169"/>
    </w:p>
    <w:p>
      <w:pPr>
        <w:adjustRightInd w:val="0"/>
        <w:snapToGrid w:val="0"/>
        <w:spacing w:before="156" w:beforeLines="50" w:line="360" w:lineRule="auto"/>
        <w:ind w:firstLine="420" w:firstLineChars="200"/>
        <w:jc w:val="left"/>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Cs/>
          <w:color w:val="auto"/>
          <w:szCs w:val="21"/>
          <w:highlight w:val="none"/>
        </w:rPr>
        <w:t>9.1</w:t>
      </w:r>
      <w:r>
        <w:rPr>
          <w:rFonts w:hint="eastAsia" w:cs="宋体" w:asciiTheme="minorEastAsia" w:hAnsiTheme="minorEastAsia" w:eastAsiaTheme="minorEastAsia"/>
          <w:color w:val="auto"/>
          <w:kern w:val="0"/>
          <w:szCs w:val="21"/>
          <w:highlight w:val="none"/>
        </w:rPr>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pPr>
        <w:adjustRightInd w:val="0"/>
        <w:snapToGrid w:val="0"/>
        <w:spacing w:before="156" w:beforeLines="50" w:line="360" w:lineRule="auto"/>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10.废标</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10.1 根据有关法律法规和招标文件的有关规定，如出现下列情况之一的，应予以废标：</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（1）符合专业条件的投标人或者对招标文件作实质响应的投标人不足三家的；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（2）出现影响采购公正的违法、违规行为的；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（3）投标人的报价均超过招标人项目采购预算，招标人不能支付的；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（4）因重大变故，采购任务取消的。</w:t>
      </w:r>
    </w:p>
    <w:p>
      <w:pPr>
        <w:pStyle w:val="9"/>
        <w:keepNext w:val="0"/>
        <w:keepLines w:val="0"/>
        <w:adjustRightInd w:val="0"/>
        <w:snapToGrid w:val="0"/>
        <w:spacing w:before="156" w:beforeLines="50" w:after="0" w:line="360" w:lineRule="auto"/>
        <w:rPr>
          <w:rFonts w:asciiTheme="minorEastAsia" w:hAnsiTheme="minorEastAsia" w:eastAsiaTheme="minorEastAsia"/>
          <w:bCs w:val="0"/>
          <w:color w:val="auto"/>
          <w:sz w:val="24"/>
          <w:szCs w:val="24"/>
          <w:highlight w:val="none"/>
        </w:rPr>
      </w:pPr>
      <w:bookmarkStart w:id="170" w:name="_Toc31540"/>
      <w:bookmarkStart w:id="171" w:name="_Toc23227"/>
      <w:bookmarkStart w:id="172" w:name="_Toc27728"/>
      <w:bookmarkStart w:id="173" w:name="_Toc28671"/>
      <w:bookmarkStart w:id="174" w:name="_Toc11032"/>
      <w:bookmarkStart w:id="175" w:name="_Toc20651225"/>
      <w:r>
        <w:rPr>
          <w:rFonts w:hint="eastAsia" w:cs="宋体" w:asciiTheme="minorEastAsia" w:hAnsiTheme="minorEastAsia" w:eastAsiaTheme="minorEastAsia"/>
          <w:color w:val="auto"/>
          <w:kern w:val="0"/>
          <w:sz w:val="24"/>
          <w:szCs w:val="24"/>
          <w:highlight w:val="none"/>
        </w:rPr>
        <w:t>11．重新组建评标委员会进行评标</w:t>
      </w:r>
      <w:bookmarkEnd w:id="170"/>
      <w:bookmarkEnd w:id="171"/>
      <w:bookmarkEnd w:id="172"/>
      <w:bookmarkEnd w:id="173"/>
      <w:bookmarkEnd w:id="174"/>
      <w:bookmarkEnd w:id="175"/>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11.1评标委员会或者其成员存在下列情形导致评标结果无效的，采购人、采购代理机构可以重新组建评标委员会进行评标，并书面报告本级财政部门，但采购合同已经履行的除外：</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（1）评标委员会组成不符合《政府采购货物和服务招标投标管理办法》规定的；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（2）有《政府采购货物和服务招标投标管理办法》第六十二条第一至五项情形的；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（3）评标委员会及其成员独立评标受到非法干预的；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（4）有政府采购法实施条例第七十五条规定的违法行为的。</w:t>
      </w:r>
    </w:p>
    <w:p>
      <w:pPr>
        <w:adjustRightInd w:val="0"/>
        <w:snapToGrid w:val="0"/>
        <w:spacing w:before="156" w:beforeLines="50" w:line="360" w:lineRule="auto"/>
        <w:ind w:firstLine="420" w:firstLineChars="200"/>
        <w:jc w:val="left"/>
        <w:rPr>
          <w:rFonts w:hint="eastAsia" w:cs="Times New Roman" w:asciiTheme="minorEastAsia" w:hAnsiTheme="minorEastAsia" w:eastAsiaTheme="minorEastAsia"/>
          <w:color w:val="auto"/>
          <w:szCs w:val="21"/>
          <w:highlight w:val="none"/>
        </w:rPr>
        <w:sectPr>
          <w:pgSz w:w="11906" w:h="16838"/>
          <w:pgMar w:top="1020" w:right="1587" w:bottom="1191" w:left="1587" w:header="851" w:footer="992" w:gutter="0"/>
          <w:pgNumType w:fmt="numberInDash"/>
          <w:cols w:space="0" w:num="1"/>
          <w:docGrid w:type="lines" w:linePitch="312" w:charSpace="0"/>
        </w:sectPr>
      </w:pPr>
      <w:r>
        <w:rPr>
          <w:rFonts w:hint="eastAsia" w:cs="Times New Roman" w:asciiTheme="minorEastAsia" w:hAnsiTheme="minorEastAsia" w:eastAsiaTheme="minorEastAsia"/>
          <w:color w:val="auto"/>
          <w:szCs w:val="21"/>
          <w:highlight w:val="none"/>
        </w:rPr>
        <w:t>11.2有违法违规行为的原评标委员会成员不得参加重新组建的评标委员会。</w:t>
      </w:r>
    </w:p>
    <w:p>
      <w:pPr>
        <w:pStyle w:val="8"/>
        <w:adjustRightInd w:val="0"/>
        <w:snapToGrid w:val="0"/>
        <w:jc w:val="center"/>
        <w:rPr>
          <w:rFonts w:asciiTheme="minorEastAsia" w:hAnsiTheme="minorEastAsia" w:eastAsiaTheme="minorEastAsia"/>
          <w:color w:val="auto"/>
          <w:sz w:val="28"/>
          <w:szCs w:val="28"/>
          <w:highlight w:val="none"/>
        </w:rPr>
      </w:pPr>
      <w:bookmarkStart w:id="176" w:name="_Toc9416"/>
      <w:bookmarkStart w:id="177" w:name="_Toc19313"/>
      <w:bookmarkStart w:id="178" w:name="_Toc13158"/>
      <w:bookmarkStart w:id="179" w:name="_Toc16394"/>
      <w:bookmarkStart w:id="180" w:name="_Toc28046"/>
      <w:r>
        <w:rPr>
          <w:rFonts w:hint="eastAsia" w:asciiTheme="minorEastAsia" w:hAnsiTheme="minorEastAsia" w:eastAsiaTheme="minorEastAsia"/>
          <w:color w:val="auto"/>
          <w:sz w:val="28"/>
          <w:szCs w:val="28"/>
          <w:highlight w:val="none"/>
        </w:rPr>
        <w:t>第三节 投标文件的符合性审查</w:t>
      </w:r>
      <w:bookmarkEnd w:id="176"/>
      <w:bookmarkEnd w:id="177"/>
      <w:bookmarkEnd w:id="178"/>
      <w:bookmarkEnd w:id="179"/>
      <w:bookmarkEnd w:id="180"/>
    </w:p>
    <w:p>
      <w:pPr>
        <w:adjustRightInd w:val="0"/>
        <w:snapToGrid w:val="0"/>
        <w:spacing w:before="156" w:beforeLines="50"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1.符合性审查</w:t>
      </w:r>
    </w:p>
    <w:p>
      <w:pPr>
        <w:adjustRightInd w:val="0"/>
        <w:snapToGrid w:val="0"/>
        <w:spacing w:before="156" w:beforeLines="50"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1"/>
          <w:highlight w:val="none"/>
        </w:rPr>
        <w:t>评标委员会应按本章本节附表1“符合性审查表”所列审查项目及审查标准，</w:t>
      </w:r>
      <w:r>
        <w:rPr>
          <w:rFonts w:hint="eastAsia" w:asciiTheme="minorEastAsia" w:hAnsiTheme="minorEastAsia" w:eastAsiaTheme="minorEastAsia"/>
          <w:color w:val="auto"/>
          <w:highlight w:val="none"/>
        </w:rPr>
        <w:t>对符合资格条件的投标人的投标文件进行符合性审查，以确定其是否满足招标文件的实质性要求。</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依据招标文件的规定，从投标文件的有效性、完整性和对招标文件的响应程度进行审查，以确定是否对招标文件的实质性要求作出响应。评标委员会判断投标文件的响应性只根据投标文件的内容，而不依据外部的证据。</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（2）投标人不得通过修正或撤销不合要求的偏离从而使其投标成为实质上响应的投标。</w:t>
      </w:r>
    </w:p>
    <w:p>
      <w:pPr>
        <w:adjustRightInd w:val="0"/>
        <w:snapToGrid w:val="0"/>
        <w:spacing w:before="156" w:beforeLines="50" w:line="360" w:lineRule="auto"/>
        <w:ind w:firstLine="420" w:firstLineChars="200"/>
        <w:jc w:val="left"/>
        <w:rPr>
          <w:rFonts w:asciiTheme="minorEastAsia" w:hAnsiTheme="minorEastAsia" w:eastAsiaTheme="minorEastAsia"/>
          <w:color w:val="auto"/>
          <w:highlight w:val="none"/>
        </w:rPr>
      </w:pPr>
      <w:r>
        <w:rPr>
          <w:rFonts w:hint="eastAsia" w:asciiTheme="minorEastAsia" w:hAnsiTheme="minorEastAsia" w:eastAsiaTheme="minorEastAsia"/>
          <w:color w:val="auto"/>
          <w:kern w:val="0"/>
          <w:szCs w:val="21"/>
          <w:highlight w:val="none"/>
        </w:rPr>
        <w:t>1.2</w:t>
      </w:r>
      <w:r>
        <w:rPr>
          <w:rFonts w:hint="eastAsia" w:asciiTheme="minorEastAsia" w:hAnsiTheme="minorEastAsia" w:eastAsiaTheme="minorEastAsia"/>
          <w:color w:val="auto"/>
          <w:highlight w:val="none"/>
        </w:rPr>
        <w:t>未通过符合性审查的投标人，其投标将被认定为投标无效，不能进入下一阶段评审。通过符合性审查的投标人数量不足 3 家的，不得作进一步的比较和评价。</w:t>
      </w:r>
    </w:p>
    <w:p>
      <w:pPr>
        <w:adjustRightInd w:val="0"/>
        <w:snapToGrid w:val="0"/>
        <w:spacing w:before="156" w:beforeLines="50" w:line="360" w:lineRule="auto"/>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2.投标无效</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2.1投标人存在下列情况之一的，符合性审查不合格，投标无效：</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（1）投标文件中商务技术文件未按照招标文件规定要求签署、盖章的；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（2）投标文件没有对招标文件的实质性要求和条件作出响应，或者对招标文件的偏离超出招标文件规定的偏离</w:t>
      </w:r>
      <w:r>
        <w:rPr>
          <w:rFonts w:hint="eastAsia" w:asciiTheme="minorEastAsia" w:hAnsiTheme="minorEastAsia" w:eastAsiaTheme="minorEastAsia"/>
          <w:color w:val="auto"/>
          <w:highlight w:val="none"/>
        </w:rPr>
        <w:t>范围和幅度</w:t>
      </w:r>
      <w:r>
        <w:rPr>
          <w:rFonts w:hint="eastAsia" w:asciiTheme="minorEastAsia" w:hAnsiTheme="minorEastAsia" w:eastAsiaTheme="minorEastAsia"/>
          <w:color w:val="auto"/>
          <w:szCs w:val="21"/>
          <w:highlight w:val="none"/>
        </w:rPr>
        <w:t>；</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（3）投标有效期不足的；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（4）投标文件含有采购人不能接受的附加条件的；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（5）不符合本节第1.1款规定符合性审查标准的；</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（6）法律、法规和招标文件规定的其他投标无效情形的。</w:t>
      </w:r>
    </w:p>
    <w:p>
      <w:pPr>
        <w:adjustRightInd w:val="0"/>
        <w:snapToGrid w:val="0"/>
        <w:spacing w:before="156" w:beforeLines="50" w:line="360" w:lineRule="auto"/>
        <w:ind w:firstLine="420" w:firstLineChars="200"/>
        <w:jc w:val="left"/>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2.2在评标过程中发现投标人有不遵循公平竞争的原则，恶意串通，妨碍其他投标人的竞争行为，损害采购人或者其他投标人的合法权益的，评标委员会应当认定其</w:t>
      </w:r>
      <w:r>
        <w:rPr>
          <w:rFonts w:hint="eastAsia" w:asciiTheme="minorEastAsia" w:hAnsiTheme="minorEastAsia" w:eastAsiaTheme="minorEastAsia"/>
          <w:b/>
          <w:color w:val="auto"/>
          <w:kern w:val="0"/>
          <w:szCs w:val="21"/>
          <w:highlight w:val="none"/>
        </w:rPr>
        <w:t>投标无效</w:t>
      </w:r>
      <w:r>
        <w:rPr>
          <w:rFonts w:hint="eastAsia" w:asciiTheme="minorEastAsia" w:hAnsiTheme="minorEastAsia" w:eastAsiaTheme="minorEastAsia"/>
          <w:color w:val="auto"/>
          <w:kern w:val="0"/>
          <w:szCs w:val="21"/>
          <w:highlight w:val="none"/>
        </w:rPr>
        <w:t>，并书面报告本级财政部门。</w:t>
      </w: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widowControl/>
        <w:jc w:val="left"/>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br w:type="page"/>
      </w:r>
    </w:p>
    <w:p>
      <w:pPr>
        <w:pStyle w:val="9"/>
        <w:adjustRightInd w:val="0"/>
        <w:snapToGrid w:val="0"/>
        <w:spacing w:before="156" w:beforeLines="50" w:after="0" w:line="360" w:lineRule="auto"/>
        <w:rPr>
          <w:rFonts w:asciiTheme="minorEastAsia" w:hAnsiTheme="minorEastAsia" w:eastAsiaTheme="minorEastAsia"/>
          <w:color w:val="auto"/>
          <w:sz w:val="21"/>
          <w:szCs w:val="21"/>
          <w:highlight w:val="none"/>
        </w:rPr>
      </w:pPr>
      <w:bookmarkStart w:id="181" w:name="_Toc9994"/>
      <w:bookmarkStart w:id="182" w:name="_Toc8188"/>
      <w:bookmarkStart w:id="183" w:name="_Toc29793"/>
      <w:bookmarkStart w:id="184" w:name="_Toc13355"/>
      <w:bookmarkStart w:id="185" w:name="_Toc29237"/>
      <w:r>
        <w:rPr>
          <w:rFonts w:hint="eastAsia" w:asciiTheme="minorEastAsia" w:hAnsiTheme="minorEastAsia" w:eastAsiaTheme="minorEastAsia"/>
          <w:color w:val="auto"/>
          <w:sz w:val="21"/>
          <w:szCs w:val="21"/>
          <w:highlight w:val="none"/>
        </w:rPr>
        <w:t>附表1 符合性审查表</w:t>
      </w:r>
      <w:bookmarkEnd w:id="181"/>
      <w:bookmarkEnd w:id="182"/>
      <w:bookmarkEnd w:id="183"/>
      <w:bookmarkEnd w:id="184"/>
      <w:bookmarkEnd w:id="185"/>
    </w:p>
    <w:p>
      <w:pPr>
        <w:adjustRightInd w:val="0"/>
        <w:snapToGrid w:val="0"/>
        <w:spacing w:before="156" w:beforeLines="50" w:line="360" w:lineRule="auto"/>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符合性审查表</w:t>
      </w:r>
    </w:p>
    <w:p>
      <w:pPr>
        <w:adjustRightInd w:val="0"/>
        <w:snapToGrid w:val="0"/>
        <w:spacing w:before="156" w:beforeLines="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项目名称：                                           采购代理编号： </w:t>
      </w:r>
    </w:p>
    <w:tbl>
      <w:tblPr>
        <w:tblStyle w:val="48"/>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2686"/>
        <w:gridCol w:w="56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vAlign w:val="center"/>
          </w:tcPr>
          <w:p>
            <w:pPr>
              <w:adjustRightInd w:val="0"/>
              <w:snapToGrid w:val="0"/>
              <w:spacing w:before="156" w:beforeLines="50" w:line="360" w:lineRule="auto"/>
              <w:jc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序号</w:t>
            </w:r>
          </w:p>
        </w:tc>
        <w:tc>
          <w:tcPr>
            <w:tcW w:w="2686" w:type="dxa"/>
            <w:vAlign w:val="center"/>
          </w:tcPr>
          <w:p>
            <w:pPr>
              <w:adjustRightInd w:val="0"/>
              <w:snapToGrid w:val="0"/>
              <w:spacing w:before="156" w:beforeLines="50" w:line="360" w:lineRule="auto"/>
              <w:jc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审查项目</w:t>
            </w: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2686" w:type="dxa"/>
            <w:vMerge w:val="restart"/>
          </w:tcPr>
          <w:p>
            <w:pPr>
              <w:adjustRightInd w:val="0"/>
              <w:snapToGrid w:val="0"/>
              <w:spacing w:before="156" w:beforeLines="50" w:line="360" w:lineRule="auto"/>
              <w:ind w:firstLine="210" w:firstLineChars="100"/>
              <w:jc w:val="left"/>
              <w:rPr>
                <w:rFonts w:cs="宋体" w:asciiTheme="minorEastAsia" w:hAnsiTheme="minorEastAsia" w:eastAsiaTheme="minorEastAsia"/>
                <w:color w:val="auto"/>
                <w:kern w:val="0"/>
                <w:szCs w:val="21"/>
                <w:highlight w:val="none"/>
              </w:rPr>
            </w:pPr>
          </w:p>
          <w:p>
            <w:pPr>
              <w:adjustRightInd w:val="0"/>
              <w:snapToGrid w:val="0"/>
              <w:spacing w:before="156" w:beforeLines="50" w:line="360" w:lineRule="auto"/>
              <w:ind w:firstLine="210" w:firstLineChars="100"/>
              <w:jc w:val="left"/>
              <w:rPr>
                <w:rFonts w:cs="宋体" w:asciiTheme="minorEastAsia" w:hAnsiTheme="minorEastAsia" w:eastAsiaTheme="minorEastAsia"/>
                <w:color w:val="auto"/>
                <w:kern w:val="0"/>
                <w:szCs w:val="21"/>
                <w:highlight w:val="none"/>
              </w:rPr>
            </w:pPr>
          </w:p>
          <w:p>
            <w:pPr>
              <w:adjustRightInd w:val="0"/>
              <w:snapToGrid w:val="0"/>
              <w:spacing w:before="156" w:beforeLines="50" w:line="360" w:lineRule="auto"/>
              <w:ind w:firstLine="210" w:firstLineChars="100"/>
              <w:jc w:val="left"/>
              <w:rPr>
                <w:rFonts w:cs="宋体" w:asciiTheme="minorEastAsia" w:hAnsiTheme="minorEastAsia" w:eastAsiaTheme="minorEastAsia"/>
                <w:color w:val="auto"/>
                <w:kern w:val="0"/>
                <w:szCs w:val="21"/>
                <w:highlight w:val="none"/>
              </w:rPr>
            </w:pPr>
          </w:p>
          <w:p>
            <w:pPr>
              <w:adjustRightInd w:val="0"/>
              <w:snapToGrid w:val="0"/>
              <w:spacing w:before="156" w:beforeLines="50" w:line="360" w:lineRule="auto"/>
              <w:ind w:firstLine="210" w:firstLineChars="100"/>
              <w:jc w:val="left"/>
              <w:rPr>
                <w:rFonts w:cs="宋体" w:asciiTheme="minorEastAsia" w:hAnsiTheme="minorEastAsia" w:eastAsiaTheme="minorEastAsia"/>
                <w:color w:val="auto"/>
                <w:kern w:val="0"/>
                <w:szCs w:val="21"/>
                <w:highlight w:val="none"/>
              </w:rPr>
            </w:pPr>
          </w:p>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符合性审查</w:t>
            </w: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投标保证金是否按要求足额提交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2686" w:type="dxa"/>
            <w:vMerge w:val="continue"/>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投标有效期是否符合要求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2686" w:type="dxa"/>
            <w:vMerge w:val="continue"/>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投标文件完整， 无重大错漏， 并按要求签署、 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2686" w:type="dxa"/>
            <w:vMerge w:val="continue"/>
          </w:tcPr>
          <w:p>
            <w:pPr>
              <w:adjustRightInd w:val="0"/>
              <w:snapToGrid w:val="0"/>
              <w:spacing w:before="156" w:beforeLines="50" w:line="360" w:lineRule="auto"/>
              <w:jc w:val="left"/>
              <w:rPr>
                <w:rFonts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投标报价是固定唯一价且未超出采购预算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2686" w:type="dxa"/>
            <w:vMerge w:val="continue"/>
          </w:tcPr>
          <w:p>
            <w:pPr>
              <w:adjustRightInd w:val="0"/>
              <w:snapToGrid w:val="0"/>
              <w:spacing w:before="156" w:beforeLines="50" w:line="360" w:lineRule="auto"/>
              <w:jc w:val="left"/>
              <w:rPr>
                <w:rFonts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不存在低于成本价投标或投标报价明显不合理且投标人不能合理说明的情况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w:t>
            </w:r>
          </w:p>
        </w:tc>
        <w:tc>
          <w:tcPr>
            <w:tcW w:w="2686" w:type="dxa"/>
            <w:vMerge w:val="continue"/>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商务和技术内容无明显偏离“采购项目内容” 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7</w:t>
            </w:r>
          </w:p>
        </w:tc>
        <w:tc>
          <w:tcPr>
            <w:tcW w:w="2686" w:type="dxa"/>
            <w:vMerge w:val="continue"/>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投标文件没有采购人不能接受的附加条件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w:t>
            </w:r>
          </w:p>
        </w:tc>
        <w:tc>
          <w:tcPr>
            <w:tcW w:w="2686" w:type="dxa"/>
            <w:vMerge w:val="continue"/>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p>
        </w:tc>
        <w:tc>
          <w:tcPr>
            <w:tcW w:w="5691" w:type="dxa"/>
          </w:tcPr>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投标文件实质性响应招标文件要求， 且无经评委认定为</w:t>
            </w:r>
          </w:p>
          <w:p>
            <w:pPr>
              <w:adjustRightInd w:val="0"/>
              <w:snapToGrid w:val="0"/>
              <w:spacing w:before="156" w:beforeLines="50"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无效标的内容和条款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color w:val="auto"/>
                <w:kern w:val="0"/>
                <w:sz w:val="20"/>
                <w:szCs w:val="21"/>
                <w:highlight w:val="none"/>
              </w:rPr>
            </w:pPr>
            <w:r>
              <w:rPr>
                <w:rFonts w:hint="eastAsia" w:cs="宋体" w:asciiTheme="minorEastAsia" w:hAnsiTheme="minorEastAsia" w:eastAsiaTheme="minorEastAsia"/>
                <w:color w:val="auto"/>
                <w:kern w:val="0"/>
                <w:sz w:val="20"/>
                <w:szCs w:val="21"/>
                <w:highlight w:val="none"/>
              </w:rPr>
              <w:t>结论</w:t>
            </w:r>
          </w:p>
        </w:tc>
        <w:tc>
          <w:tcPr>
            <w:tcW w:w="8377" w:type="dxa"/>
            <w:gridSpan w:val="2"/>
            <w:vAlign w:val="center"/>
          </w:tcPr>
          <w:p>
            <w:pPr>
              <w:adjustRightInd w:val="0"/>
              <w:snapToGrid w:val="0"/>
              <w:spacing w:before="156" w:beforeLines="50" w:line="360" w:lineRule="auto"/>
              <w:rPr>
                <w:rFonts w:cs="宋体" w:asciiTheme="minorEastAsia" w:hAnsiTheme="minorEastAsia" w:eastAsiaTheme="minorEastAsia"/>
                <w:color w:val="auto"/>
                <w:kern w:val="0"/>
                <w:sz w:val="20"/>
                <w:szCs w:val="21"/>
                <w:highlight w:val="none"/>
              </w:rPr>
            </w:pPr>
          </w:p>
        </w:tc>
      </w:tr>
    </w:tbl>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p>
      <w:pPr>
        <w:adjustRightInd w:val="0"/>
        <w:snapToGrid w:val="0"/>
        <w:spacing w:before="156" w:beforeLines="50" w:line="360" w:lineRule="auto"/>
        <w:ind w:firstLine="420" w:firstLineChars="200"/>
        <w:jc w:val="left"/>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（1） 评标委员会认为， 投标人的报价明显不合理或者明显低于其他投标报价， 有可能影响商品质量和不能诚信履约的， 应当要求该投标人作出书面说明并提供相关证明材料。 投标人不能合理说明或者不能提供相关证明材料的， 由评标委员会认定该投标人以低于成本报价投标， 投标无效。</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（2） 评委在结论栏中按“一票否决” 填写“通过“或” 不通过“有半数以上的评委对投标人的结论为“不通过” 则该投标人为不通过初步审查投标人，不得进入下一步技术、 商务、 价格评审。</w:t>
      </w:r>
      <w:r>
        <w:rPr>
          <w:rFonts w:asciiTheme="minorEastAsia" w:hAnsiTheme="minorEastAsia" w:eastAsiaTheme="minorEastAsia"/>
          <w:color w:val="auto"/>
          <w:szCs w:val="21"/>
          <w:highlight w:val="none"/>
        </w:rPr>
        <w:br w:type="page"/>
      </w:r>
    </w:p>
    <w:p>
      <w:pPr>
        <w:pStyle w:val="9"/>
        <w:rPr>
          <w:rFonts w:asciiTheme="minorEastAsia" w:hAnsiTheme="minorEastAsia" w:eastAsiaTheme="minorEastAsia"/>
          <w:color w:val="auto"/>
          <w:sz w:val="21"/>
          <w:szCs w:val="21"/>
          <w:highlight w:val="none"/>
        </w:rPr>
      </w:pPr>
      <w:bookmarkStart w:id="186" w:name="_Toc61"/>
      <w:bookmarkStart w:id="187" w:name="_Toc17478"/>
      <w:bookmarkStart w:id="188" w:name="_Toc11812"/>
      <w:bookmarkStart w:id="189" w:name="_Toc7660"/>
      <w:bookmarkStart w:id="190" w:name="_Toc5601"/>
      <w:r>
        <w:rPr>
          <w:rFonts w:hint="eastAsia" w:asciiTheme="minorEastAsia" w:hAnsiTheme="minorEastAsia" w:eastAsiaTheme="minorEastAsia"/>
          <w:color w:val="auto"/>
          <w:sz w:val="21"/>
          <w:szCs w:val="21"/>
          <w:highlight w:val="none"/>
        </w:rPr>
        <w:t>附表</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 xml:space="preserve"> 符合性审查结果一览表</w:t>
      </w:r>
      <w:bookmarkEnd w:id="186"/>
      <w:bookmarkEnd w:id="187"/>
      <w:bookmarkEnd w:id="188"/>
      <w:bookmarkEnd w:id="189"/>
      <w:bookmarkEnd w:id="190"/>
    </w:p>
    <w:p>
      <w:pPr>
        <w:adjustRightInd w:val="0"/>
        <w:snapToGrid w:val="0"/>
        <w:spacing w:before="156" w:beforeLines="50" w:line="360" w:lineRule="auto"/>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符合性审查结果一览表</w:t>
      </w:r>
    </w:p>
    <w:p>
      <w:pPr>
        <w:adjustRightInd w:val="0"/>
        <w:snapToGrid w:val="0"/>
        <w:spacing w:before="156" w:beforeLines="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                                           采购代理编号：</w:t>
      </w:r>
    </w:p>
    <w:tbl>
      <w:tblPr>
        <w:tblStyle w:val="48"/>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序号</w:t>
            </w:r>
          </w:p>
        </w:tc>
        <w:tc>
          <w:tcPr>
            <w:tcW w:w="2963" w:type="dxa"/>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投标人名称</w:t>
            </w:r>
          </w:p>
        </w:tc>
        <w:tc>
          <w:tcPr>
            <w:tcW w:w="2439" w:type="dxa"/>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符合性审查结果</w:t>
            </w:r>
          </w:p>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（合格/不合格）</w:t>
            </w:r>
          </w:p>
        </w:tc>
        <w:tc>
          <w:tcPr>
            <w:tcW w:w="2961" w:type="dxa"/>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符合性审查不合格原因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439"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2961" w:type="dxa"/>
          </w:tcPr>
          <w:p>
            <w:pPr>
              <w:adjustRightInd w:val="0"/>
              <w:snapToGrid w:val="0"/>
              <w:spacing w:line="360" w:lineRule="auto"/>
              <w:rPr>
                <w:rFonts w:asciiTheme="minorEastAsia" w:hAnsiTheme="minorEastAsia" w:eastAsiaTheme="minorEastAsia"/>
                <w:color w:val="auto"/>
                <w:kern w:val="0"/>
                <w:sz w:val="24"/>
                <w:highlight w:val="none"/>
              </w:rPr>
            </w:pPr>
          </w:p>
        </w:tc>
      </w:tr>
    </w:tbl>
    <w:p>
      <w:pPr>
        <w:widowControl/>
        <w:jc w:val="left"/>
        <w:rPr>
          <w:rFonts w:asciiTheme="minorEastAsia" w:hAnsiTheme="minorEastAsia" w:eastAsiaTheme="minorEastAsia"/>
          <w:bCs/>
          <w:color w:val="auto"/>
          <w:szCs w:val="21"/>
          <w:highlight w:val="none"/>
        </w:rPr>
      </w:pPr>
      <w:r>
        <w:rPr>
          <w:rFonts w:asciiTheme="minorEastAsia" w:hAnsiTheme="minorEastAsia" w:eastAsiaTheme="minorEastAsia"/>
          <w:b/>
          <w:color w:val="auto"/>
          <w:szCs w:val="21"/>
          <w:highlight w:val="none"/>
        </w:rPr>
        <w:br w:type="page"/>
      </w:r>
    </w:p>
    <w:p>
      <w:pPr>
        <w:pStyle w:val="9"/>
        <w:rPr>
          <w:rFonts w:asciiTheme="minorEastAsia" w:hAnsiTheme="minorEastAsia" w:eastAsiaTheme="minorEastAsia"/>
          <w:color w:val="auto"/>
          <w:sz w:val="21"/>
          <w:szCs w:val="21"/>
          <w:highlight w:val="none"/>
        </w:rPr>
      </w:pPr>
      <w:bookmarkStart w:id="191" w:name="_Toc31648"/>
      <w:bookmarkStart w:id="192" w:name="_Toc29109"/>
      <w:bookmarkStart w:id="193" w:name="_Toc4380"/>
      <w:bookmarkStart w:id="194" w:name="_Toc29010"/>
      <w:bookmarkStart w:id="195" w:name="_Toc5323"/>
      <w:r>
        <w:rPr>
          <w:rFonts w:hint="eastAsia" w:asciiTheme="minorEastAsia" w:hAnsiTheme="minorEastAsia" w:eastAsiaTheme="minorEastAsia"/>
          <w:color w:val="auto"/>
          <w:sz w:val="21"/>
          <w:szCs w:val="21"/>
          <w:highlight w:val="none"/>
        </w:rPr>
        <w:t>附表</w:t>
      </w:r>
      <w:r>
        <w:rPr>
          <w:rFonts w:hint="eastAsia" w:asciiTheme="minorEastAsia" w:hAnsiTheme="minorEastAsia" w:eastAsiaTheme="minorEastAsia"/>
          <w:color w:val="auto"/>
          <w:sz w:val="21"/>
          <w:szCs w:val="21"/>
          <w:highlight w:val="none"/>
          <w:lang w:val="en-US" w:eastAsia="zh-CN"/>
        </w:rPr>
        <w:t>3</w:t>
      </w:r>
      <w:r>
        <w:rPr>
          <w:rFonts w:hint="eastAsia" w:asciiTheme="minorEastAsia" w:hAnsiTheme="minorEastAsia" w:eastAsiaTheme="minorEastAsia"/>
          <w:color w:val="auto"/>
          <w:sz w:val="21"/>
          <w:szCs w:val="21"/>
          <w:highlight w:val="none"/>
        </w:rPr>
        <w:t xml:space="preserve"> 符合性审查合格投标人名单</w:t>
      </w:r>
      <w:bookmarkEnd w:id="191"/>
      <w:bookmarkEnd w:id="192"/>
      <w:bookmarkEnd w:id="193"/>
      <w:bookmarkEnd w:id="194"/>
      <w:bookmarkEnd w:id="195"/>
    </w:p>
    <w:p>
      <w:pPr>
        <w:adjustRightInd w:val="0"/>
        <w:snapToGrid w:val="0"/>
        <w:spacing w:before="156" w:beforeLines="50" w:line="360" w:lineRule="auto"/>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符合性审查合格投标人名单</w:t>
      </w:r>
    </w:p>
    <w:p>
      <w:pPr>
        <w:adjustRightInd w:val="0"/>
        <w:snapToGrid w:val="0"/>
        <w:spacing w:before="156" w:beforeLines="50" w:line="360" w:lineRule="auto"/>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Cs w:val="21"/>
          <w:highlight w:val="none"/>
        </w:rPr>
        <w:t>项目名称：                                        采购代理编号：</w:t>
      </w:r>
    </w:p>
    <w:tbl>
      <w:tblPr>
        <w:tblStyle w:val="48"/>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993" w:type="dxa"/>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序号</w:t>
            </w:r>
          </w:p>
        </w:tc>
        <w:tc>
          <w:tcPr>
            <w:tcW w:w="7796" w:type="dxa"/>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color w:val="auto"/>
                <w:kern w:val="0"/>
                <w:szCs w:val="21"/>
                <w:highlight w:val="none"/>
              </w:rPr>
            </w:pPr>
          </w:p>
        </w:tc>
        <w:tc>
          <w:tcPr>
            <w:tcW w:w="7796" w:type="dxa"/>
          </w:tcPr>
          <w:p>
            <w:pPr>
              <w:adjustRightInd w:val="0"/>
              <w:snapToGrid w:val="0"/>
              <w:spacing w:line="360" w:lineRule="auto"/>
              <w:rPr>
                <w:rFonts w:asciiTheme="minorEastAsia" w:hAnsiTheme="minorEastAsia" w:eastAsiaTheme="minorEastAsia"/>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7796"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7796"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7796"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99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7796" w:type="dxa"/>
          </w:tcPr>
          <w:p>
            <w:pPr>
              <w:adjustRightInd w:val="0"/>
              <w:snapToGrid w:val="0"/>
              <w:spacing w:line="360" w:lineRule="auto"/>
              <w:rPr>
                <w:rFonts w:asciiTheme="minorEastAsia" w:hAnsiTheme="minorEastAsia" w:eastAsiaTheme="minorEastAsia"/>
                <w:color w:val="auto"/>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color w:val="auto"/>
                <w:kern w:val="0"/>
                <w:sz w:val="24"/>
                <w:highlight w:val="none"/>
              </w:rPr>
            </w:pPr>
          </w:p>
        </w:tc>
        <w:tc>
          <w:tcPr>
            <w:tcW w:w="7796" w:type="dxa"/>
          </w:tcPr>
          <w:p>
            <w:pPr>
              <w:adjustRightInd w:val="0"/>
              <w:snapToGrid w:val="0"/>
              <w:spacing w:line="360" w:lineRule="auto"/>
              <w:rPr>
                <w:rFonts w:asciiTheme="minorEastAsia" w:hAnsiTheme="minorEastAsia" w:eastAsiaTheme="minorEastAsia"/>
                <w:color w:val="auto"/>
                <w:kern w:val="0"/>
                <w:sz w:val="24"/>
                <w:highlight w:val="none"/>
              </w:rPr>
            </w:pPr>
          </w:p>
        </w:tc>
      </w:tr>
    </w:tbl>
    <w:p>
      <w:pPr>
        <w:rPr>
          <w:rFonts w:asciiTheme="minorEastAsia" w:hAnsiTheme="minorEastAsia" w:eastAsiaTheme="minorEastAsia"/>
          <w:color w:val="auto"/>
          <w:w w:val="90"/>
          <w:highlight w:val="none"/>
        </w:rPr>
      </w:pPr>
    </w:p>
    <w:p>
      <w:pPr>
        <w:rPr>
          <w:rFonts w:asciiTheme="minorEastAsia" w:hAnsiTheme="minorEastAsia" w:eastAsiaTheme="minorEastAsia"/>
          <w:b/>
          <w:color w:val="auto"/>
          <w:sz w:val="32"/>
          <w:szCs w:val="32"/>
          <w:highlight w:val="none"/>
        </w:rPr>
      </w:pPr>
    </w:p>
    <w:p>
      <w:pPr>
        <w:pStyle w:val="8"/>
        <w:adjustRightInd w:val="0"/>
        <w:snapToGrid w:val="0"/>
        <w:jc w:val="center"/>
        <w:rPr>
          <w:rFonts w:asciiTheme="minorEastAsia" w:hAnsiTheme="minorEastAsia" w:eastAsiaTheme="minorEastAsia"/>
          <w:color w:val="auto"/>
          <w:sz w:val="28"/>
          <w:szCs w:val="28"/>
          <w:highlight w:val="none"/>
        </w:rPr>
      </w:pPr>
      <w:r>
        <w:rPr>
          <w:rFonts w:asciiTheme="minorEastAsia" w:hAnsiTheme="minorEastAsia" w:eastAsiaTheme="minorEastAsia"/>
          <w:b w:val="0"/>
          <w:color w:val="auto"/>
          <w:sz w:val="32"/>
          <w:highlight w:val="none"/>
        </w:rPr>
        <w:br w:type="page"/>
      </w:r>
      <w:bookmarkStart w:id="196" w:name="_Toc4158"/>
      <w:bookmarkStart w:id="197" w:name="_Toc10184"/>
      <w:bookmarkStart w:id="198" w:name="_Toc30341"/>
      <w:bookmarkStart w:id="199" w:name="_Toc30927"/>
      <w:bookmarkStart w:id="200" w:name="_Toc20722"/>
      <w:r>
        <w:rPr>
          <w:rFonts w:hint="eastAsia" w:asciiTheme="minorEastAsia" w:hAnsiTheme="minorEastAsia" w:eastAsiaTheme="minorEastAsia"/>
          <w:color w:val="auto"/>
          <w:sz w:val="28"/>
          <w:szCs w:val="28"/>
          <w:highlight w:val="none"/>
        </w:rPr>
        <w:t>第四节 投标文件的比较与评价（综合评分法）</w:t>
      </w:r>
      <w:bookmarkEnd w:id="196"/>
      <w:bookmarkEnd w:id="197"/>
      <w:bookmarkEnd w:id="198"/>
      <w:bookmarkEnd w:id="199"/>
      <w:bookmarkEnd w:id="200"/>
    </w:p>
    <w:p>
      <w:pPr>
        <w:widowControl/>
        <w:adjustRightInd w:val="0"/>
        <w:snapToGrid w:val="0"/>
        <w:spacing w:before="156" w:beforeLines="50" w:line="360" w:lineRule="auto"/>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hint="eastAsia" w:asciiTheme="minorEastAsia" w:hAnsiTheme="minorEastAsia" w:eastAsiaTheme="minorEastAsia"/>
          <w:color w:val="auto"/>
          <w:highlight w:val="none"/>
        </w:rPr>
        <w:t xml:space="preserve"> </w:t>
      </w:r>
      <w:r>
        <w:rPr>
          <w:rFonts w:hint="eastAsia" w:asciiTheme="minorEastAsia" w:hAnsiTheme="minorEastAsia" w:eastAsiaTheme="minorEastAsia"/>
          <w:b/>
          <w:color w:val="auto"/>
          <w:sz w:val="24"/>
          <w:highlight w:val="none"/>
        </w:rPr>
        <w:t>综合评分法</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1.2评标因素：评审因素的设定应当与投标人所提供货物服务的质量相关，包括投标报价、技术或者服务水平、履约能力、售后服务等，但不包括第一章投标人的资格要求。本采购项目的评标因素和标准见本章本节附页1“评标方法及标准表”。</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1.3未通过符合性审查的投标文件不得进入比较与评价。</w:t>
      </w:r>
    </w:p>
    <w:p>
      <w:pPr>
        <w:adjustRightInd w:val="0"/>
        <w:snapToGrid w:val="0"/>
        <w:spacing w:before="156" w:beforeLines="50" w:line="360" w:lineRule="auto"/>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2.</w:t>
      </w:r>
      <w:r>
        <w:rPr>
          <w:rFonts w:hint="eastAsia" w:asciiTheme="minorEastAsia" w:hAnsiTheme="minorEastAsia" w:eastAsiaTheme="minorEastAsia"/>
          <w:color w:val="auto"/>
          <w:highlight w:val="none"/>
        </w:rPr>
        <w:t xml:space="preserve"> </w:t>
      </w:r>
      <w:r>
        <w:rPr>
          <w:rFonts w:hint="eastAsia" w:asciiTheme="minorEastAsia" w:hAnsiTheme="minorEastAsia" w:eastAsiaTheme="minorEastAsia"/>
          <w:b/>
          <w:bCs/>
          <w:color w:val="auto"/>
          <w:sz w:val="24"/>
          <w:highlight w:val="none"/>
        </w:rPr>
        <w:t>投标报价的算术修正及政府采购政策调整</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2.1如果有算术错误，投标报价将按本章第二节第4.2款、第4.3款规定进行算术修正。</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2.2需落实政府采购政策（价格评审优惠）的，按第二章“投标须知”及本章第二节第</w:t>
      </w:r>
      <w:r>
        <w:rPr>
          <w:rFonts w:asciiTheme="minorEastAsia" w:hAnsiTheme="minorEastAsia" w:eastAsiaTheme="minorEastAsia"/>
          <w:bCs/>
          <w:color w:val="auto"/>
          <w:szCs w:val="21"/>
          <w:highlight w:val="none"/>
        </w:rPr>
        <w:t>5.3</w:t>
      </w:r>
      <w:r>
        <w:rPr>
          <w:rFonts w:hint="eastAsia" w:asciiTheme="minorEastAsia" w:hAnsiTheme="minorEastAsia" w:eastAsiaTheme="minorEastAsia"/>
          <w:bCs/>
          <w:color w:val="auto"/>
          <w:szCs w:val="21"/>
          <w:highlight w:val="none"/>
        </w:rPr>
        <w:t>（1）项的相关规定进行价格调整。</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2.3按本章本节第2.1款、第2.2款规定，以修正或调整后的价格确定投标人的投标报价和评标基准价，用于投标报价评价。</w:t>
      </w:r>
    </w:p>
    <w:p>
      <w:pPr>
        <w:adjustRightInd w:val="0"/>
        <w:snapToGrid w:val="0"/>
        <w:spacing w:before="156" w:beforeLines="50" w:line="360" w:lineRule="auto"/>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3.</w:t>
      </w:r>
      <w:r>
        <w:rPr>
          <w:rFonts w:hint="eastAsia" w:asciiTheme="minorEastAsia" w:hAnsiTheme="minorEastAsia" w:eastAsiaTheme="minorEastAsia"/>
          <w:color w:val="auto"/>
          <w:highlight w:val="none"/>
        </w:rPr>
        <w:t xml:space="preserve"> </w:t>
      </w:r>
      <w:r>
        <w:rPr>
          <w:rFonts w:hint="eastAsia" w:asciiTheme="minorEastAsia" w:hAnsiTheme="minorEastAsia" w:eastAsiaTheme="minorEastAsia"/>
          <w:b/>
          <w:bCs/>
          <w:color w:val="auto"/>
          <w:sz w:val="24"/>
          <w:highlight w:val="none"/>
        </w:rPr>
        <w:t>投标报价评价</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3.1投标报价评价：价格分应当采用低价优先法计算，即满足招标文件要求且投标价格最低的投标报价为评标基准价，其价格分为满分（报价权重分）。其他投标人的价格分统一按照下列公式计算：</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投标报价得分=（评标基准价</w:t>
      </w:r>
      <w:r>
        <w:rPr>
          <w:rFonts w:hint="eastAsia" w:asciiTheme="minorEastAsia" w:hAnsiTheme="minorEastAsia" w:eastAsiaTheme="minorEastAsia"/>
          <w:color w:val="auto"/>
          <w:szCs w:val="21"/>
          <w:highlight w:val="none"/>
          <w:vertAlign w:val="subscript"/>
        </w:rPr>
        <w:t>修正或调整</w:t>
      </w:r>
      <w:r>
        <w:rPr>
          <w:rFonts w:hint="eastAsia" w:asciiTheme="minorEastAsia" w:hAnsiTheme="minorEastAsia" w:eastAsiaTheme="minorEastAsia"/>
          <w:color w:val="auto"/>
          <w:szCs w:val="21"/>
          <w:highlight w:val="none"/>
        </w:rPr>
        <w:t>／投标报价</w:t>
      </w:r>
      <w:r>
        <w:rPr>
          <w:rFonts w:hint="eastAsia" w:asciiTheme="minorEastAsia" w:hAnsiTheme="minorEastAsia" w:eastAsiaTheme="minorEastAsia"/>
          <w:color w:val="auto"/>
          <w:szCs w:val="21"/>
          <w:highlight w:val="none"/>
          <w:vertAlign w:val="subscript"/>
        </w:rPr>
        <w:t>修正或调整</w:t>
      </w:r>
      <w:r>
        <w:rPr>
          <w:rFonts w:hint="eastAsia" w:asciiTheme="minorEastAsia" w:hAnsiTheme="minorEastAsia" w:eastAsiaTheme="minorEastAsia"/>
          <w:color w:val="auto"/>
          <w:szCs w:val="21"/>
          <w:highlight w:val="none"/>
        </w:rPr>
        <w:t>） × 报价权重分</w:t>
      </w:r>
    </w:p>
    <w:p>
      <w:pPr>
        <w:adjustRightInd w:val="0"/>
        <w:snapToGrid w:val="0"/>
        <w:spacing w:before="156" w:beforeLines="50"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4.</w:t>
      </w:r>
      <w:r>
        <w:rPr>
          <w:rFonts w:hint="eastAsia" w:asciiTheme="minorEastAsia" w:hAnsiTheme="minorEastAsia" w:eastAsiaTheme="minorEastAsia"/>
          <w:color w:val="auto"/>
          <w:sz w:val="24"/>
          <w:highlight w:val="none"/>
        </w:rPr>
        <w:t>技术、商务等评分项响应评价及政府采购政策加分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4.1技术、商务等评分项响应评分。按</w:t>
      </w:r>
      <w:r>
        <w:rPr>
          <w:rFonts w:hint="eastAsia" w:asciiTheme="minorEastAsia" w:hAnsiTheme="minorEastAsia" w:eastAsiaTheme="minorEastAsia"/>
          <w:bCs/>
          <w:color w:val="auto"/>
          <w:szCs w:val="21"/>
          <w:highlight w:val="none"/>
        </w:rPr>
        <w:t>本章</w:t>
      </w:r>
      <w:r>
        <w:rPr>
          <w:rFonts w:hint="eastAsia" w:asciiTheme="minorEastAsia" w:hAnsiTheme="minorEastAsia" w:eastAsiaTheme="minorEastAsia"/>
          <w:color w:val="auto"/>
          <w:szCs w:val="21"/>
          <w:highlight w:val="none"/>
        </w:rPr>
        <w:t>本节附页1“评标方法及标准表”规定的评标因素和标准，对技术、商务等评分项计算得分。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4.2需落实政府采购政策（优先采购）的，按第二章、本章第二节第5.3（2）项以及本节附页1“评标方法及标准表”的相关规定进行技术、价格、商务项得分(加分)计算。</w:t>
      </w:r>
    </w:p>
    <w:p>
      <w:pPr>
        <w:adjustRightInd w:val="0"/>
        <w:snapToGrid w:val="0"/>
        <w:spacing w:before="156" w:beforeLines="50" w:line="360" w:lineRule="auto"/>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5.评标总得分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5.1评标总得分为投标报价、技术、商务等评分项得分(含优先采购政策加分)之和。</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评标总得分＝A</w:t>
      </w:r>
      <w:r>
        <w:rPr>
          <w:rFonts w:hint="eastAsia" w:asciiTheme="minorEastAsia" w:hAnsiTheme="minorEastAsia" w:eastAsiaTheme="minorEastAsia"/>
          <w:color w:val="auto"/>
          <w:szCs w:val="21"/>
          <w:highlight w:val="none"/>
          <w:vertAlign w:val="subscript"/>
        </w:rPr>
        <w:t>投标报价得分</w:t>
      </w:r>
      <w:r>
        <w:rPr>
          <w:rFonts w:hint="eastAsia"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vertAlign w:val="subscript"/>
        </w:rPr>
        <w:t>技术项得分</w:t>
      </w:r>
      <w:r>
        <w:rPr>
          <w:rFonts w:hint="eastAsia"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vertAlign w:val="subscript"/>
        </w:rPr>
        <w:t>商务项得分</w:t>
      </w:r>
      <w:r>
        <w:rPr>
          <w:rFonts w:hint="eastAsia"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vertAlign w:val="subscript"/>
        </w:rPr>
        <w:t>优先采购加分</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5.2评分分值计算保留小数点后两位，小数点后第三位“四舍五入”。</w:t>
      </w:r>
    </w:p>
    <w:p>
      <w:pPr>
        <w:adjustRightInd w:val="0"/>
        <w:snapToGrid w:val="0"/>
        <w:spacing w:before="156" w:beforeLines="50" w:line="360" w:lineRule="auto"/>
        <w:ind w:firstLine="420" w:firstLineChars="200"/>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5.3</w:t>
      </w:r>
      <w:r>
        <w:rPr>
          <w:rFonts w:hint="eastAsia" w:asciiTheme="minorEastAsia" w:hAnsiTheme="minorEastAsia" w:eastAsiaTheme="minorEastAsia"/>
          <w:color w:val="auto"/>
          <w:szCs w:val="21"/>
          <w:highlight w:val="none"/>
        </w:rPr>
        <w:t>评标时，评标委员会成员应当独立对满足招标文件全部实质性要求投标人的</w:t>
      </w:r>
      <w:r>
        <w:rPr>
          <w:rFonts w:hint="eastAsia" w:asciiTheme="minorEastAsia" w:hAnsiTheme="minorEastAsia" w:eastAsiaTheme="minorEastAsia"/>
          <w:bCs/>
          <w:color w:val="auto"/>
          <w:szCs w:val="21"/>
          <w:highlight w:val="none"/>
        </w:rPr>
        <w:t>投标文件</w:t>
      </w:r>
      <w:r>
        <w:rPr>
          <w:rFonts w:hint="eastAsia" w:asciiTheme="minorEastAsia" w:hAnsiTheme="minorEastAsia" w:eastAsiaTheme="minorEastAsia"/>
          <w:color w:val="auto"/>
          <w:szCs w:val="21"/>
          <w:highlight w:val="none"/>
        </w:rPr>
        <w:t>进行评价、评分，然后汇总每个投标人每项评分因素的得分。每个投标人的最终得分为所有评标委员会成员评分的算术平均值。</w:t>
      </w:r>
    </w:p>
    <w:p>
      <w:pPr>
        <w:adjustRightInd w:val="0"/>
        <w:snapToGrid w:val="0"/>
        <w:spacing w:before="156" w:beforeLines="50" w:line="360" w:lineRule="auto"/>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6.中标候选人的推荐方法</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6.1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6.2得分且投标报价相同的并列，按本章第二节规定确定中标候选人。</w:t>
      </w:r>
    </w:p>
    <w:p>
      <w:pPr>
        <w:adjustRightInd w:val="0"/>
        <w:snapToGrid w:val="0"/>
        <w:spacing w:before="156" w:beforeLines="50" w:line="360" w:lineRule="auto"/>
        <w:ind w:firstLine="420" w:firstLineChars="200"/>
        <w:jc w:val="left"/>
        <w:rPr>
          <w:rFonts w:asciiTheme="minorEastAsia" w:hAnsiTheme="minorEastAsia" w:eastAsiaTheme="minorEastAsia"/>
          <w:bCs/>
          <w:color w:val="auto"/>
          <w:szCs w:val="21"/>
          <w:highlight w:val="none"/>
        </w:rPr>
      </w:pPr>
    </w:p>
    <w:p>
      <w:pPr>
        <w:pStyle w:val="29"/>
        <w:rPr>
          <w:rFonts w:hint="eastAsia" w:ascii="黑体" w:hAnsi="黑体"/>
          <w:b/>
        </w:rPr>
        <w:sectPr>
          <w:pgSz w:w="11906" w:h="16838"/>
          <w:pgMar w:top="1020" w:right="1587" w:bottom="1191" w:left="1587" w:header="851" w:footer="992" w:gutter="0"/>
          <w:pgNumType w:fmt="numberInDash"/>
          <w:cols w:space="0" w:num="1"/>
          <w:docGrid w:type="lines" w:linePitch="312" w:charSpace="0"/>
        </w:sectPr>
      </w:pPr>
    </w:p>
    <w:p>
      <w:pPr>
        <w:pStyle w:val="29"/>
        <w:rPr>
          <w:rFonts w:ascii="黑体" w:hAnsi="黑体"/>
          <w:b/>
        </w:rPr>
      </w:pPr>
      <w:r>
        <w:rPr>
          <w:rFonts w:hint="eastAsia" w:ascii="黑体" w:hAnsi="黑体"/>
          <w:b/>
        </w:rPr>
        <w:t>附页1 评标方法及标准</w:t>
      </w:r>
    </w:p>
    <w:p>
      <w:pPr>
        <w:adjustRightInd w:val="0"/>
        <w:snapToGrid w:val="0"/>
        <w:spacing w:beforeLines="50" w:line="360" w:lineRule="auto"/>
        <w:jc w:val="center"/>
        <w:rPr>
          <w:rFonts w:ascii="黑体" w:hAnsi="黑体" w:eastAsia="黑体"/>
          <w:b/>
          <w:color w:val="auto"/>
          <w:sz w:val="28"/>
          <w:szCs w:val="28"/>
        </w:rPr>
      </w:pPr>
      <w:r>
        <w:rPr>
          <w:rFonts w:hint="eastAsia" w:ascii="黑体" w:hAnsi="黑体" w:eastAsia="黑体"/>
          <w:b/>
          <w:color w:val="auto"/>
          <w:sz w:val="28"/>
          <w:szCs w:val="28"/>
        </w:rPr>
        <w:t>评标方法及标准</w:t>
      </w:r>
    </w:p>
    <w:tbl>
      <w:tblPr>
        <w:tblStyle w:val="47"/>
        <w:tblW w:w="9396" w:type="dxa"/>
        <w:jc w:val="center"/>
        <w:tblLayout w:type="fixed"/>
        <w:tblCellMar>
          <w:top w:w="0" w:type="dxa"/>
          <w:left w:w="108" w:type="dxa"/>
          <w:bottom w:w="0" w:type="dxa"/>
          <w:right w:w="108" w:type="dxa"/>
        </w:tblCellMar>
      </w:tblPr>
      <w:tblGrid>
        <w:gridCol w:w="1810"/>
        <w:gridCol w:w="708"/>
        <w:gridCol w:w="6878"/>
      </w:tblGrid>
      <w:tr>
        <w:tblPrEx>
          <w:tblCellMar>
            <w:top w:w="0" w:type="dxa"/>
            <w:left w:w="108" w:type="dxa"/>
            <w:bottom w:w="0" w:type="dxa"/>
            <w:right w:w="108" w:type="dxa"/>
          </w:tblCellMar>
        </w:tblPrEx>
        <w:trPr>
          <w:trHeight w:val="20"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1"/>
                <w:szCs w:val="21"/>
              </w:rPr>
            </w:pPr>
            <w:r>
              <w:rPr>
                <w:rFonts w:hint="eastAsia"/>
                <w:b/>
                <w:bCs/>
                <w:color w:val="auto"/>
                <w:sz w:val="21"/>
                <w:szCs w:val="21"/>
              </w:rPr>
              <w:t>评标指标</w:t>
            </w:r>
          </w:p>
        </w:tc>
        <w:tc>
          <w:tcPr>
            <w:tcW w:w="708" w:type="dxa"/>
            <w:tcBorders>
              <w:top w:val="single" w:color="auto" w:sz="4" w:space="0"/>
              <w:left w:val="nil"/>
              <w:bottom w:val="single" w:color="auto" w:sz="4" w:space="0"/>
              <w:right w:val="single" w:color="auto" w:sz="4" w:space="0"/>
            </w:tcBorders>
            <w:vAlign w:val="center"/>
          </w:tcPr>
          <w:p>
            <w:pPr>
              <w:jc w:val="center"/>
              <w:rPr>
                <w:b/>
                <w:bCs/>
                <w:color w:val="auto"/>
                <w:sz w:val="21"/>
                <w:szCs w:val="21"/>
              </w:rPr>
            </w:pPr>
            <w:r>
              <w:rPr>
                <w:rFonts w:hint="eastAsia"/>
                <w:b/>
                <w:bCs/>
                <w:color w:val="auto"/>
                <w:sz w:val="21"/>
                <w:szCs w:val="21"/>
              </w:rPr>
              <w:t>分值</w:t>
            </w:r>
          </w:p>
        </w:tc>
        <w:tc>
          <w:tcPr>
            <w:tcW w:w="6878" w:type="dxa"/>
            <w:tcBorders>
              <w:top w:val="single" w:color="auto" w:sz="4" w:space="0"/>
              <w:left w:val="nil"/>
              <w:bottom w:val="single" w:color="auto" w:sz="4" w:space="0"/>
              <w:right w:val="single" w:color="auto" w:sz="4" w:space="0"/>
            </w:tcBorders>
            <w:vAlign w:val="center"/>
          </w:tcPr>
          <w:p>
            <w:pPr>
              <w:jc w:val="center"/>
              <w:rPr>
                <w:b/>
                <w:bCs/>
                <w:color w:val="auto"/>
                <w:sz w:val="21"/>
                <w:szCs w:val="21"/>
              </w:rPr>
            </w:pPr>
            <w:r>
              <w:rPr>
                <w:rFonts w:hint="eastAsia"/>
                <w:b/>
                <w:bCs/>
                <w:color w:val="auto"/>
                <w:sz w:val="21"/>
                <w:szCs w:val="21"/>
              </w:rPr>
              <w:t>评分标准</w:t>
            </w:r>
          </w:p>
        </w:tc>
      </w:tr>
      <w:tr>
        <w:tblPrEx>
          <w:tblCellMar>
            <w:top w:w="0" w:type="dxa"/>
            <w:left w:w="108" w:type="dxa"/>
            <w:bottom w:w="0" w:type="dxa"/>
            <w:right w:w="108" w:type="dxa"/>
          </w:tblCellMar>
        </w:tblPrEx>
        <w:trPr>
          <w:trHeight w:val="20" w:hRule="atLeast"/>
          <w:jc w:val="center"/>
        </w:trPr>
        <w:tc>
          <w:tcPr>
            <w:tcW w:w="9396"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b/>
                <w:bCs/>
                <w:color w:val="auto"/>
                <w:sz w:val="21"/>
                <w:szCs w:val="21"/>
              </w:rPr>
            </w:pPr>
            <w:r>
              <w:rPr>
                <w:rFonts w:hint="eastAsia"/>
                <w:b/>
                <w:bCs/>
                <w:color w:val="auto"/>
                <w:sz w:val="21"/>
                <w:szCs w:val="21"/>
                <w:lang w:eastAsia="zh-CN"/>
              </w:rPr>
              <w:t>价格部分</w:t>
            </w:r>
            <w:r>
              <w:rPr>
                <w:rFonts w:hint="eastAsia"/>
                <w:b/>
                <w:bCs/>
                <w:color w:val="auto"/>
                <w:sz w:val="21"/>
                <w:szCs w:val="21"/>
              </w:rPr>
              <w:t>（</w:t>
            </w:r>
            <w:r>
              <w:rPr>
                <w:rFonts w:hint="eastAsia"/>
                <w:b/>
                <w:bCs/>
                <w:color w:val="auto"/>
                <w:sz w:val="21"/>
                <w:szCs w:val="21"/>
                <w:lang w:val="en-US" w:eastAsia="zh-CN"/>
              </w:rPr>
              <w:t>40</w:t>
            </w:r>
            <w:r>
              <w:rPr>
                <w:rFonts w:hint="eastAsia"/>
                <w:b/>
                <w:bCs/>
                <w:color w:val="auto"/>
                <w:sz w:val="21"/>
                <w:szCs w:val="21"/>
              </w:rPr>
              <w:t>分）</w:t>
            </w:r>
          </w:p>
        </w:tc>
      </w:tr>
      <w:tr>
        <w:tblPrEx>
          <w:tblCellMar>
            <w:top w:w="0" w:type="dxa"/>
            <w:left w:w="108" w:type="dxa"/>
            <w:bottom w:w="0" w:type="dxa"/>
            <w:right w:w="108" w:type="dxa"/>
          </w:tblCellMar>
        </w:tblPrEx>
        <w:trPr>
          <w:trHeight w:val="20"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1"/>
                <w:szCs w:val="21"/>
              </w:rPr>
            </w:pPr>
            <w:r>
              <w:rPr>
                <w:rFonts w:hint="eastAsia" w:asciiTheme="minorEastAsia" w:hAnsiTheme="minorEastAsia" w:eastAsiaTheme="minorEastAsia" w:cstheme="minorEastAsia"/>
                <w:b/>
                <w:bCs/>
                <w:color w:val="auto"/>
                <w:sz w:val="21"/>
                <w:szCs w:val="21"/>
              </w:rPr>
              <w:t>价格分</w:t>
            </w:r>
          </w:p>
        </w:tc>
        <w:tc>
          <w:tcPr>
            <w:tcW w:w="708" w:type="dxa"/>
            <w:tcBorders>
              <w:top w:val="single" w:color="auto" w:sz="4" w:space="0"/>
              <w:left w:val="nil"/>
              <w:bottom w:val="single" w:color="auto" w:sz="4" w:space="0"/>
              <w:right w:val="single" w:color="auto" w:sz="4" w:space="0"/>
            </w:tcBorders>
            <w:vAlign w:val="center"/>
          </w:tcPr>
          <w:p>
            <w:pPr>
              <w:jc w:val="center"/>
              <w:rPr>
                <w:rFonts w:hint="default"/>
                <w:color w:val="auto"/>
                <w:sz w:val="21"/>
                <w:szCs w:val="21"/>
                <w:lang w:val="en-US"/>
              </w:rPr>
            </w:pPr>
            <w:r>
              <w:rPr>
                <w:rFonts w:hint="eastAsia" w:asciiTheme="minorEastAsia" w:hAnsiTheme="minorEastAsia" w:eastAsiaTheme="minorEastAsia" w:cstheme="minorEastAsia"/>
                <w:color w:val="auto"/>
                <w:sz w:val="21"/>
                <w:szCs w:val="21"/>
                <w:lang w:val="en-US" w:eastAsia="zh-CN"/>
              </w:rPr>
              <w:t>30</w:t>
            </w:r>
          </w:p>
        </w:tc>
        <w:tc>
          <w:tcPr>
            <w:tcW w:w="6878" w:type="dxa"/>
            <w:tcBorders>
              <w:top w:val="single" w:color="auto" w:sz="4" w:space="0"/>
              <w:left w:val="nil"/>
              <w:bottom w:val="single" w:color="auto" w:sz="4" w:space="0"/>
              <w:right w:val="single" w:color="auto" w:sz="4" w:space="0"/>
            </w:tcBorders>
            <w:vAlign w:val="center"/>
          </w:tcPr>
          <w:p>
            <w:pPr>
              <w:spacing w:line="420" w:lineRule="exact"/>
              <w:rPr>
                <w:rFonts w:hint="eastAsia" w:ascii="宋体" w:hAnsi="宋体" w:cs="宋体"/>
                <w:bCs/>
                <w:color w:val="auto"/>
                <w:sz w:val="21"/>
                <w:szCs w:val="21"/>
              </w:rPr>
            </w:pPr>
            <w:r>
              <w:rPr>
                <w:rFonts w:hint="eastAsia" w:ascii="宋体" w:hAnsi="宋体" w:cs="宋体"/>
                <w:color w:val="auto"/>
                <w:sz w:val="21"/>
                <w:szCs w:val="21"/>
              </w:rPr>
              <w:t>综合评分法中的价格分统一采用低价优先法计算，即满足招标文件要求且投标价格最低的投标报价为评标基准价，其价格分得分为</w:t>
            </w:r>
            <w:r>
              <w:rPr>
                <w:rFonts w:hint="eastAsia" w:ascii="宋体" w:hAnsi="宋体" w:cs="宋体"/>
                <w:color w:val="auto"/>
                <w:sz w:val="21"/>
                <w:szCs w:val="21"/>
                <w:lang w:val="en-US" w:eastAsia="zh-CN"/>
              </w:rPr>
              <w:t>30</w:t>
            </w:r>
            <w:r>
              <w:rPr>
                <w:rFonts w:hint="eastAsia" w:ascii="宋体" w:hAnsi="宋体" w:cs="宋体"/>
                <w:color w:val="auto"/>
                <w:sz w:val="21"/>
                <w:szCs w:val="21"/>
              </w:rPr>
              <w:t>分。所有供应商的价格分统一按照下列公式计算：价格</w:t>
            </w:r>
            <w:r>
              <w:rPr>
                <w:rFonts w:hint="eastAsia" w:ascii="宋体" w:hAnsi="宋体" w:cs="宋体"/>
                <w:bCs/>
                <w:color w:val="auto"/>
                <w:sz w:val="21"/>
                <w:szCs w:val="21"/>
              </w:rPr>
              <w:t>得分=（评标基准价/投标报价）×</w:t>
            </w:r>
            <w:r>
              <w:rPr>
                <w:rFonts w:hint="eastAsia" w:ascii="宋体" w:hAnsi="宋体" w:cs="宋体"/>
                <w:bCs/>
                <w:color w:val="auto"/>
                <w:sz w:val="21"/>
                <w:szCs w:val="21"/>
                <w:lang w:val="en-US" w:eastAsia="zh-CN"/>
              </w:rPr>
              <w:t>30</w:t>
            </w:r>
            <w:r>
              <w:rPr>
                <w:rFonts w:hint="eastAsia" w:ascii="宋体" w:hAnsi="宋体" w:cs="宋体"/>
                <w:bCs/>
                <w:color w:val="auto"/>
                <w:sz w:val="21"/>
                <w:szCs w:val="21"/>
              </w:rPr>
              <w:t>。</w:t>
            </w:r>
          </w:p>
          <w:p>
            <w:pPr>
              <w:spacing w:line="420" w:lineRule="exact"/>
              <w:rPr>
                <w:color w:val="auto"/>
                <w:sz w:val="21"/>
                <w:szCs w:val="21"/>
              </w:rPr>
            </w:pPr>
            <w:r>
              <w:rPr>
                <w:rFonts w:hint="eastAsia" w:ascii="宋体" w:hAnsi="宋体" w:cs="宋体"/>
                <w:b/>
                <w:color w:val="auto"/>
                <w:sz w:val="21"/>
                <w:szCs w:val="21"/>
              </w:rPr>
              <w:t>（注：评标委员会认为供应商的报价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投标处理。）</w:t>
            </w:r>
          </w:p>
        </w:tc>
      </w:tr>
      <w:tr>
        <w:tblPrEx>
          <w:tblCellMar>
            <w:top w:w="0" w:type="dxa"/>
            <w:left w:w="108" w:type="dxa"/>
            <w:bottom w:w="0" w:type="dxa"/>
            <w:right w:w="108" w:type="dxa"/>
          </w:tblCellMar>
        </w:tblPrEx>
        <w:trPr>
          <w:trHeight w:val="20" w:hRule="atLeast"/>
          <w:jc w:val="center"/>
        </w:trPr>
        <w:tc>
          <w:tcPr>
            <w:tcW w:w="9396" w:type="dxa"/>
            <w:gridSpan w:val="3"/>
            <w:tcBorders>
              <w:top w:val="single" w:color="auto" w:sz="4" w:space="0"/>
              <w:left w:val="single" w:color="auto" w:sz="4" w:space="0"/>
              <w:bottom w:val="single" w:color="auto" w:sz="4" w:space="0"/>
              <w:right w:val="single" w:color="auto" w:sz="4" w:space="0"/>
            </w:tcBorders>
            <w:vAlign w:val="center"/>
          </w:tcPr>
          <w:p>
            <w:pPr>
              <w:rPr>
                <w:color w:val="auto"/>
                <w:sz w:val="21"/>
                <w:szCs w:val="21"/>
              </w:rPr>
            </w:pPr>
            <w:r>
              <w:rPr>
                <w:rFonts w:hint="eastAsia"/>
                <w:b/>
                <w:bCs/>
                <w:color w:val="auto"/>
                <w:sz w:val="21"/>
                <w:szCs w:val="21"/>
              </w:rPr>
              <w:t>技术</w:t>
            </w:r>
            <w:r>
              <w:rPr>
                <w:rFonts w:hint="eastAsia"/>
                <w:b/>
                <w:bCs/>
                <w:color w:val="auto"/>
                <w:sz w:val="21"/>
                <w:szCs w:val="21"/>
                <w:lang w:eastAsia="zh-CN"/>
              </w:rPr>
              <w:t>部分</w:t>
            </w:r>
            <w:r>
              <w:rPr>
                <w:rFonts w:hint="eastAsia"/>
                <w:b/>
                <w:bCs/>
                <w:color w:val="auto"/>
                <w:sz w:val="21"/>
                <w:szCs w:val="21"/>
              </w:rPr>
              <w:t>（</w:t>
            </w:r>
            <w:r>
              <w:rPr>
                <w:rFonts w:hint="eastAsia"/>
                <w:b/>
                <w:bCs/>
                <w:color w:val="auto"/>
                <w:sz w:val="21"/>
                <w:szCs w:val="21"/>
                <w:lang w:val="en-US" w:eastAsia="zh-CN"/>
              </w:rPr>
              <w:t>40</w:t>
            </w:r>
            <w:r>
              <w:rPr>
                <w:rFonts w:hint="eastAsia"/>
                <w:b/>
                <w:bCs/>
                <w:color w:val="auto"/>
                <w:sz w:val="21"/>
                <w:szCs w:val="21"/>
              </w:rPr>
              <w:t>分）</w:t>
            </w:r>
          </w:p>
        </w:tc>
      </w:tr>
      <w:tr>
        <w:tblPrEx>
          <w:tblCellMar>
            <w:top w:w="0" w:type="dxa"/>
            <w:left w:w="108" w:type="dxa"/>
            <w:bottom w:w="0" w:type="dxa"/>
            <w:right w:w="108" w:type="dxa"/>
          </w:tblCellMar>
        </w:tblPrEx>
        <w:trPr>
          <w:trHeight w:val="662" w:hRule="atLeast"/>
          <w:jc w:val="center"/>
        </w:trPr>
        <w:tc>
          <w:tcPr>
            <w:tcW w:w="1810" w:type="dxa"/>
            <w:tcBorders>
              <w:top w:val="single" w:color="auto" w:sz="4" w:space="0"/>
              <w:left w:val="single" w:color="auto" w:sz="4" w:space="0"/>
              <w:right w:val="single" w:color="auto" w:sz="4" w:space="0"/>
            </w:tcBorders>
            <w:vAlign w:val="center"/>
          </w:tcPr>
          <w:p>
            <w:pPr>
              <w:spacing w:line="360" w:lineRule="auto"/>
              <w:ind w:right="-86" w:rightChars="-41"/>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项目运营服务</w:t>
            </w:r>
          </w:p>
          <w:p>
            <w:pPr>
              <w:spacing w:line="360" w:lineRule="auto"/>
              <w:ind w:right="-86" w:rightChars="-41"/>
              <w:jc w:val="center"/>
              <w:rPr>
                <w:b w:val="0"/>
                <w:bCs w:val="0"/>
                <w:color w:val="auto"/>
                <w:sz w:val="21"/>
                <w:szCs w:val="21"/>
              </w:rPr>
            </w:pPr>
            <w:r>
              <w:rPr>
                <w:rFonts w:hint="eastAsia" w:asciiTheme="minorEastAsia" w:hAnsiTheme="minorEastAsia" w:eastAsiaTheme="minorEastAsia" w:cstheme="minorEastAsia"/>
                <w:color w:val="auto"/>
                <w:szCs w:val="21"/>
                <w:lang w:val="en-US" w:eastAsia="zh-CN"/>
              </w:rPr>
              <w:t>方案</w:t>
            </w:r>
          </w:p>
        </w:tc>
        <w:tc>
          <w:tcPr>
            <w:tcW w:w="708" w:type="dxa"/>
            <w:tcBorders>
              <w:top w:val="single" w:color="auto" w:sz="4" w:space="0"/>
              <w:left w:val="nil"/>
              <w:right w:val="single" w:color="auto" w:sz="4" w:space="0"/>
            </w:tcBorders>
            <w:vAlign w:val="center"/>
          </w:tcPr>
          <w:p>
            <w:pPr>
              <w:bidi w:val="0"/>
              <w:jc w:val="center"/>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lang w:val="en-US" w:eastAsia="zh-CN"/>
              </w:rPr>
              <w:t>20分</w:t>
            </w:r>
          </w:p>
        </w:tc>
        <w:tc>
          <w:tcPr>
            <w:tcW w:w="6878" w:type="dxa"/>
            <w:tcBorders>
              <w:top w:val="single" w:color="auto" w:sz="4" w:space="0"/>
              <w:left w:val="nil"/>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根据投标人针对本项目提供的运营服务方案情况，包含项目的总体思路、项目涉及到的技术问题、合理化建议以及应用的技术方法等内容进行综合评价：</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1）方案合理、科学、</w:t>
            </w:r>
            <w:r>
              <w:rPr>
                <w:rFonts w:hint="eastAsia" w:asciiTheme="minorEastAsia" w:hAnsiTheme="minorEastAsia" w:eastAsiaTheme="minorEastAsia" w:cstheme="minorEastAsia"/>
                <w:color w:val="auto"/>
                <w:szCs w:val="21"/>
                <w:highlight w:val="none"/>
                <w:lang w:val="en-US" w:eastAsia="zh-CN"/>
              </w:rPr>
              <w:t>详细的计</w:t>
            </w:r>
            <w:r>
              <w:rPr>
                <w:rFonts w:hint="eastAsia" w:asciiTheme="minorEastAsia" w:hAnsiTheme="minorEastAsia" w:eastAsiaTheme="minorEastAsia" w:cstheme="minorEastAsia"/>
                <w:color w:val="auto"/>
                <w:szCs w:val="21"/>
                <w:lang w:val="en-US" w:eastAsia="zh-CN"/>
              </w:rPr>
              <w:t>20分；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2）方案较合理、较科学、较</w:t>
            </w:r>
            <w:r>
              <w:rPr>
                <w:rFonts w:hint="eastAsia" w:asciiTheme="minorEastAsia" w:hAnsiTheme="minorEastAsia" w:eastAsiaTheme="minorEastAsia" w:cstheme="minorEastAsia"/>
                <w:color w:val="auto"/>
                <w:szCs w:val="21"/>
                <w:highlight w:val="none"/>
                <w:lang w:val="en-US" w:eastAsia="zh-CN"/>
              </w:rPr>
              <w:t>详细的计</w:t>
            </w:r>
            <w:r>
              <w:rPr>
                <w:rFonts w:hint="eastAsia" w:asciiTheme="minorEastAsia" w:hAnsiTheme="minorEastAsia" w:eastAsiaTheme="minorEastAsia" w:cstheme="minorEastAsia"/>
                <w:color w:val="auto"/>
                <w:szCs w:val="21"/>
                <w:lang w:val="en-US" w:eastAsia="zh-CN"/>
              </w:rPr>
              <w:t>15分；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3）方案合理性一般、科学性一般的计8分；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4）方案合理性差、科学性差的计3分.</w:t>
            </w:r>
          </w:p>
          <w:p>
            <w:pPr>
              <w:spacing w:line="360" w:lineRule="auto"/>
              <w:ind w:right="-86" w:rightChars="-41"/>
              <w:rPr>
                <w:rFonts w:hint="eastAsia" w:ascii="宋体" w:hAnsi="宋体" w:cs="宋体"/>
                <w:color w:val="auto"/>
                <w:sz w:val="21"/>
                <w:szCs w:val="21"/>
              </w:rPr>
            </w:pPr>
            <w:r>
              <w:rPr>
                <w:rFonts w:hint="eastAsia" w:asciiTheme="minorEastAsia" w:hAnsiTheme="minorEastAsia" w:eastAsiaTheme="minorEastAsia" w:cstheme="minorEastAsia"/>
                <w:color w:val="auto"/>
                <w:szCs w:val="21"/>
                <w:lang w:val="en-US" w:eastAsia="zh-CN"/>
              </w:rPr>
              <w:t>无不计分。</w:t>
            </w:r>
          </w:p>
        </w:tc>
      </w:tr>
      <w:tr>
        <w:tblPrEx>
          <w:tblCellMar>
            <w:top w:w="0" w:type="dxa"/>
            <w:left w:w="108" w:type="dxa"/>
            <w:bottom w:w="0" w:type="dxa"/>
            <w:right w:w="108" w:type="dxa"/>
          </w:tblCellMar>
        </w:tblPrEx>
        <w:trPr>
          <w:trHeight w:val="662"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jc w:val="center"/>
              <w:rPr>
                <w:b w:val="0"/>
                <w:bCs w:val="0"/>
                <w:color w:val="auto"/>
                <w:sz w:val="21"/>
                <w:szCs w:val="21"/>
              </w:rPr>
            </w:pPr>
            <w:r>
              <w:rPr>
                <w:rFonts w:hint="eastAsia" w:asciiTheme="minorEastAsia" w:hAnsiTheme="minorEastAsia" w:eastAsiaTheme="minorEastAsia" w:cstheme="minorEastAsia"/>
                <w:color w:val="auto"/>
                <w:szCs w:val="21"/>
                <w:lang w:val="en-US" w:eastAsia="zh-CN"/>
              </w:rPr>
              <w:t>资源配备计划</w:t>
            </w:r>
          </w:p>
        </w:tc>
        <w:tc>
          <w:tcPr>
            <w:tcW w:w="708" w:type="dxa"/>
            <w:tcBorders>
              <w:top w:val="single" w:color="auto" w:sz="4" w:space="0"/>
              <w:left w:val="nil"/>
              <w:bottom w:val="single" w:color="auto" w:sz="4" w:space="0"/>
              <w:right w:val="single" w:color="auto" w:sz="4" w:space="0"/>
            </w:tcBorders>
            <w:vAlign w:val="center"/>
          </w:tcPr>
          <w:p>
            <w:pPr>
              <w:bidi w:val="0"/>
              <w:jc w:val="center"/>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lang w:val="en-US" w:eastAsia="zh-CN"/>
              </w:rPr>
              <w:t>10分</w:t>
            </w:r>
          </w:p>
        </w:tc>
        <w:tc>
          <w:tcPr>
            <w:tcW w:w="6878" w:type="dxa"/>
            <w:tcBorders>
              <w:top w:val="single" w:color="auto" w:sz="4" w:space="0"/>
              <w:left w:val="nil"/>
              <w:bottom w:val="single" w:color="auto" w:sz="4" w:space="0"/>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根据投标文件中资源配备计划的横向综合评价：</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1）设备药剂、人力资源配置计划得当，方案完善，可行性，科学性高得10分；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2）设备药剂、人力资源配置计划较完善，可行性，科学性较高</w:t>
            </w:r>
            <w:r>
              <w:rPr>
                <w:rFonts w:hint="eastAsia" w:asciiTheme="minorEastAsia" w:hAnsiTheme="minorEastAsia" w:eastAsiaTheme="minorEastAsia" w:cstheme="minorEastAsia"/>
                <w:color w:val="auto"/>
                <w:szCs w:val="21"/>
                <w:highlight w:val="none"/>
                <w:lang w:val="en-US" w:eastAsia="zh-CN"/>
              </w:rPr>
              <w:t>的计</w:t>
            </w:r>
            <w:r>
              <w:rPr>
                <w:rFonts w:hint="eastAsia" w:asciiTheme="minorEastAsia" w:hAnsiTheme="minorEastAsia" w:eastAsiaTheme="minorEastAsia" w:cstheme="minorEastAsia"/>
                <w:color w:val="auto"/>
                <w:szCs w:val="21"/>
                <w:lang w:val="en-US" w:eastAsia="zh-CN"/>
              </w:rPr>
              <w:t>7分；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3）设备药剂、人力资源配置计划一般，可行性，科学性一般</w:t>
            </w:r>
            <w:r>
              <w:rPr>
                <w:rFonts w:hint="eastAsia" w:asciiTheme="minorEastAsia" w:hAnsiTheme="minorEastAsia" w:eastAsiaTheme="minorEastAsia" w:cstheme="minorEastAsia"/>
                <w:color w:val="auto"/>
                <w:szCs w:val="21"/>
                <w:highlight w:val="none"/>
                <w:lang w:val="en-US" w:eastAsia="zh-CN"/>
              </w:rPr>
              <w:t>的计</w:t>
            </w:r>
            <w:r>
              <w:rPr>
                <w:rFonts w:hint="eastAsia" w:asciiTheme="minorEastAsia" w:hAnsiTheme="minorEastAsia" w:eastAsiaTheme="minorEastAsia" w:cstheme="minorEastAsia"/>
                <w:color w:val="auto"/>
                <w:szCs w:val="21"/>
                <w:lang w:val="en-US" w:eastAsia="zh-CN"/>
              </w:rPr>
              <w:t>4分；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4）设备药剂、人力资源配置计划差，可行性，科学性差</w:t>
            </w:r>
            <w:r>
              <w:rPr>
                <w:rFonts w:hint="eastAsia" w:asciiTheme="minorEastAsia" w:hAnsiTheme="minorEastAsia" w:eastAsiaTheme="minorEastAsia" w:cstheme="minorEastAsia"/>
                <w:color w:val="auto"/>
                <w:szCs w:val="21"/>
                <w:highlight w:val="none"/>
                <w:lang w:val="en-US" w:eastAsia="zh-CN"/>
              </w:rPr>
              <w:t>的计</w:t>
            </w:r>
            <w:r>
              <w:rPr>
                <w:rFonts w:hint="eastAsia" w:asciiTheme="minorEastAsia" w:hAnsiTheme="minorEastAsia" w:eastAsiaTheme="minorEastAsia" w:cstheme="minorEastAsia"/>
                <w:color w:val="auto"/>
                <w:szCs w:val="21"/>
                <w:lang w:val="en-US" w:eastAsia="zh-CN"/>
              </w:rPr>
              <w:t>1分。</w:t>
            </w:r>
          </w:p>
          <w:p>
            <w:pPr>
              <w:spacing w:line="360" w:lineRule="auto"/>
              <w:ind w:right="-86" w:rightChars="-41"/>
              <w:rPr>
                <w:rFonts w:hint="eastAsia" w:ascii="宋体" w:hAnsi="宋体" w:cs="宋体"/>
                <w:color w:val="auto"/>
                <w:sz w:val="21"/>
                <w:szCs w:val="21"/>
              </w:rPr>
            </w:pPr>
            <w:r>
              <w:rPr>
                <w:rFonts w:hint="eastAsia" w:asciiTheme="minorEastAsia" w:hAnsiTheme="minorEastAsia" w:eastAsiaTheme="minorEastAsia" w:cstheme="minorEastAsia"/>
                <w:color w:val="auto"/>
                <w:szCs w:val="21"/>
                <w:lang w:val="en-US" w:eastAsia="zh-CN"/>
              </w:rPr>
              <w:t>无不计分。</w:t>
            </w:r>
          </w:p>
        </w:tc>
      </w:tr>
      <w:tr>
        <w:tblPrEx>
          <w:tblCellMar>
            <w:top w:w="0" w:type="dxa"/>
            <w:left w:w="108" w:type="dxa"/>
            <w:bottom w:w="0" w:type="dxa"/>
            <w:right w:w="108" w:type="dxa"/>
          </w:tblCellMar>
        </w:tblPrEx>
        <w:trPr>
          <w:trHeight w:val="469"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服务质量保障</w:t>
            </w:r>
          </w:p>
          <w:p>
            <w:pPr>
              <w:spacing w:line="360" w:lineRule="auto"/>
              <w:ind w:right="-86" w:rightChars="-41"/>
              <w:jc w:val="center"/>
              <w:rPr>
                <w:b w:val="0"/>
                <w:bCs w:val="0"/>
                <w:color w:val="auto"/>
                <w:sz w:val="21"/>
                <w:szCs w:val="21"/>
              </w:rPr>
            </w:pPr>
            <w:r>
              <w:rPr>
                <w:rFonts w:hint="eastAsia" w:asciiTheme="minorEastAsia" w:hAnsiTheme="minorEastAsia" w:eastAsiaTheme="minorEastAsia" w:cstheme="minorEastAsia"/>
                <w:color w:val="auto"/>
                <w:szCs w:val="21"/>
                <w:lang w:val="en-US" w:eastAsia="zh-CN"/>
              </w:rPr>
              <w:t>体系和内部管理规章制度</w:t>
            </w:r>
          </w:p>
        </w:tc>
        <w:tc>
          <w:tcPr>
            <w:tcW w:w="708"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lang w:val="en-US" w:eastAsia="zh-CN"/>
              </w:rPr>
              <w:t>5分</w:t>
            </w:r>
          </w:p>
        </w:tc>
        <w:tc>
          <w:tcPr>
            <w:tcW w:w="6878"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根据投标人针对本项目服务质量保障体系和内部管理规章制度（包括质量控制、</w:t>
            </w:r>
            <w:r>
              <w:rPr>
                <w:rFonts w:hint="eastAsia" w:asciiTheme="minorEastAsia" w:hAnsiTheme="minorEastAsia" w:eastAsiaTheme="minorEastAsia" w:cstheme="minorEastAsia"/>
                <w:color w:val="auto"/>
                <w:kern w:val="0"/>
                <w:szCs w:val="21"/>
                <w:highlight w:val="none"/>
                <w:shd w:val="clear" w:color="auto" w:fill="auto"/>
                <w:lang w:val="en-US" w:eastAsia="zh-CN"/>
              </w:rPr>
              <w:t>质量保证措施、处理标准、安全标准、环境标准的保障措施和制度</w:t>
            </w:r>
            <w:r>
              <w:rPr>
                <w:rFonts w:hint="eastAsia" w:asciiTheme="minorEastAsia" w:hAnsiTheme="minorEastAsia" w:eastAsiaTheme="minorEastAsia" w:cstheme="minorEastAsia"/>
                <w:color w:val="auto"/>
                <w:szCs w:val="21"/>
                <w:lang w:val="en-US" w:eastAsia="zh-CN"/>
              </w:rPr>
              <w:t>的方法以及调查结果的处</w:t>
            </w:r>
            <w:r>
              <w:rPr>
                <w:rFonts w:hint="eastAsia" w:asciiTheme="minorEastAsia" w:hAnsiTheme="minorEastAsia" w:eastAsiaTheme="minorEastAsia" w:cstheme="minorEastAsia"/>
                <w:color w:val="auto"/>
                <w:szCs w:val="21"/>
                <w:highlight w:val="none"/>
                <w:lang w:val="en-US" w:eastAsia="zh-CN"/>
              </w:rPr>
              <w:t>理）的合理</w:t>
            </w:r>
            <w:r>
              <w:rPr>
                <w:rFonts w:hint="eastAsia" w:asciiTheme="minorEastAsia" w:hAnsiTheme="minorEastAsia" w:eastAsiaTheme="minorEastAsia" w:cstheme="minorEastAsia"/>
                <w:color w:val="auto"/>
                <w:szCs w:val="21"/>
                <w:lang w:val="en-US" w:eastAsia="zh-CN"/>
              </w:rPr>
              <w:t>、科学、具体、可行，后续服务承诺是否全面、周到等方面横向对比后进行综合评审：</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1）方案完整、科学、可行、内容</w:t>
            </w:r>
            <w:r>
              <w:rPr>
                <w:rFonts w:hint="eastAsia" w:asciiTheme="minorEastAsia" w:hAnsiTheme="minorEastAsia" w:eastAsiaTheme="minorEastAsia" w:cstheme="minorEastAsia"/>
                <w:color w:val="auto"/>
                <w:szCs w:val="21"/>
                <w:highlight w:val="none"/>
                <w:lang w:val="en-US" w:eastAsia="zh-CN"/>
              </w:rPr>
              <w:t>详细的计</w:t>
            </w:r>
            <w:r>
              <w:rPr>
                <w:rFonts w:hint="eastAsia" w:asciiTheme="minorEastAsia" w:hAnsiTheme="minorEastAsia" w:eastAsiaTheme="minorEastAsia" w:cstheme="minorEastAsia"/>
                <w:color w:val="auto"/>
                <w:szCs w:val="21"/>
                <w:lang w:val="en-US" w:eastAsia="zh-CN"/>
              </w:rPr>
              <w:t>5分；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2）方案较完整、较科学可行、较详细的计3分；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3）方案编制一般、完善性详细度一般的计1分。</w:t>
            </w:r>
          </w:p>
          <w:p>
            <w:pPr>
              <w:spacing w:line="360" w:lineRule="auto"/>
              <w:ind w:right="-86" w:rightChars="-41"/>
              <w:rPr>
                <w:rFonts w:hint="eastAsia" w:ascii="宋体" w:hAnsi="宋体" w:cs="宋体"/>
                <w:color w:val="auto"/>
                <w:sz w:val="21"/>
                <w:szCs w:val="21"/>
              </w:rPr>
            </w:pPr>
            <w:r>
              <w:rPr>
                <w:rFonts w:hint="eastAsia" w:asciiTheme="minorEastAsia" w:hAnsiTheme="minorEastAsia" w:eastAsiaTheme="minorEastAsia" w:cstheme="minorEastAsia"/>
                <w:color w:val="auto"/>
                <w:szCs w:val="21"/>
                <w:lang w:val="en-US" w:eastAsia="zh-CN"/>
              </w:rPr>
              <w:t>无不计分。</w:t>
            </w:r>
          </w:p>
        </w:tc>
      </w:tr>
      <w:tr>
        <w:tblPrEx>
          <w:tblCellMar>
            <w:top w:w="0" w:type="dxa"/>
            <w:left w:w="108" w:type="dxa"/>
            <w:bottom w:w="0" w:type="dxa"/>
            <w:right w:w="108" w:type="dxa"/>
          </w:tblCellMar>
        </w:tblPrEx>
        <w:trPr>
          <w:trHeight w:val="662"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jc w:val="center"/>
              <w:rPr>
                <w:b w:val="0"/>
                <w:bCs w:val="0"/>
                <w:color w:val="auto"/>
                <w:sz w:val="21"/>
                <w:szCs w:val="21"/>
              </w:rPr>
            </w:pPr>
            <w:r>
              <w:rPr>
                <w:rFonts w:hint="eastAsia" w:asciiTheme="minorEastAsia" w:hAnsiTheme="minorEastAsia" w:eastAsiaTheme="minorEastAsia" w:cstheme="minorEastAsia"/>
                <w:color w:val="000000"/>
                <w:szCs w:val="24"/>
              </w:rPr>
              <w:t>设备</w:t>
            </w:r>
            <w:r>
              <w:rPr>
                <w:rFonts w:hint="eastAsia" w:asciiTheme="minorEastAsia" w:hAnsiTheme="minorEastAsia" w:eastAsiaTheme="minorEastAsia" w:cstheme="minorEastAsia"/>
                <w:szCs w:val="24"/>
              </w:rPr>
              <w:t>维护及保养方案</w:t>
            </w:r>
          </w:p>
        </w:tc>
        <w:tc>
          <w:tcPr>
            <w:tcW w:w="708"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lang w:val="en-US" w:eastAsia="zh-CN"/>
              </w:rPr>
              <w:t>5分</w:t>
            </w:r>
          </w:p>
        </w:tc>
        <w:tc>
          <w:tcPr>
            <w:tcW w:w="6878"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根据</w:t>
            </w:r>
            <w:r>
              <w:rPr>
                <w:rFonts w:hint="eastAsia" w:asciiTheme="minorEastAsia" w:hAnsiTheme="minorEastAsia" w:eastAsiaTheme="minorEastAsia" w:cstheme="minorEastAsia"/>
                <w:color w:val="000000"/>
                <w:szCs w:val="24"/>
              </w:rPr>
              <w:t>设备</w:t>
            </w:r>
            <w:r>
              <w:rPr>
                <w:rFonts w:hint="eastAsia" w:asciiTheme="minorEastAsia" w:hAnsiTheme="minorEastAsia" w:eastAsiaTheme="minorEastAsia" w:cstheme="minorEastAsia"/>
                <w:szCs w:val="24"/>
              </w:rPr>
              <w:t>维护及保养方案</w:t>
            </w:r>
            <w:r>
              <w:rPr>
                <w:rFonts w:hint="eastAsia" w:asciiTheme="minorEastAsia" w:hAnsiTheme="minorEastAsia" w:eastAsiaTheme="minorEastAsia" w:cstheme="minorEastAsia"/>
                <w:color w:val="auto"/>
                <w:szCs w:val="21"/>
                <w:lang w:val="en-US" w:eastAsia="zh-CN"/>
              </w:rPr>
              <w:t>的合理、具体、可行等方面横向对比后进行综合评审：</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1）方案内容详细、合理具体、可行的计5分；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2）方案较完整、较具体可行、较详细的计3分；</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3）方案编制一般、完善性详细度一般的计1分。</w:t>
            </w:r>
          </w:p>
          <w:p>
            <w:pPr>
              <w:spacing w:line="360" w:lineRule="auto"/>
              <w:ind w:right="-86" w:rightChars="-41"/>
              <w:rPr>
                <w:rFonts w:hint="eastAsia" w:ascii="宋体" w:hAnsi="宋体" w:cs="宋体"/>
                <w:color w:val="auto"/>
                <w:sz w:val="21"/>
                <w:szCs w:val="21"/>
              </w:rPr>
            </w:pPr>
            <w:r>
              <w:rPr>
                <w:rFonts w:hint="eastAsia" w:asciiTheme="minorEastAsia" w:hAnsiTheme="minorEastAsia" w:eastAsiaTheme="minorEastAsia" w:cstheme="minorEastAsia"/>
                <w:color w:val="auto"/>
                <w:szCs w:val="21"/>
                <w:lang w:val="en-US" w:eastAsia="zh-CN"/>
              </w:rPr>
              <w:t>无不计分。</w:t>
            </w:r>
          </w:p>
        </w:tc>
      </w:tr>
      <w:tr>
        <w:tblPrEx>
          <w:tblCellMar>
            <w:top w:w="0" w:type="dxa"/>
            <w:left w:w="108" w:type="dxa"/>
            <w:bottom w:w="0" w:type="dxa"/>
            <w:right w:w="108" w:type="dxa"/>
          </w:tblCellMar>
        </w:tblPrEx>
        <w:trPr>
          <w:trHeight w:val="20" w:hRule="atLeast"/>
          <w:jc w:val="center"/>
        </w:trPr>
        <w:tc>
          <w:tcPr>
            <w:tcW w:w="9396" w:type="dxa"/>
            <w:gridSpan w:val="3"/>
            <w:tcBorders>
              <w:top w:val="single" w:color="auto" w:sz="4" w:space="0"/>
              <w:left w:val="single" w:color="auto" w:sz="4" w:space="0"/>
              <w:bottom w:val="single" w:color="auto" w:sz="4" w:space="0"/>
              <w:right w:val="single" w:color="auto" w:sz="4" w:space="0"/>
            </w:tcBorders>
            <w:vAlign w:val="center"/>
          </w:tcPr>
          <w:p>
            <w:pPr>
              <w:rPr>
                <w:b/>
                <w:bCs/>
                <w:color w:val="auto"/>
                <w:sz w:val="21"/>
                <w:szCs w:val="21"/>
              </w:rPr>
            </w:pPr>
            <w:r>
              <w:rPr>
                <w:rFonts w:hint="eastAsia"/>
                <w:b/>
                <w:bCs/>
                <w:color w:val="auto"/>
                <w:sz w:val="21"/>
                <w:szCs w:val="21"/>
              </w:rPr>
              <w:t>商务</w:t>
            </w:r>
            <w:r>
              <w:rPr>
                <w:rFonts w:hint="eastAsia"/>
                <w:b/>
                <w:bCs/>
                <w:color w:val="auto"/>
                <w:sz w:val="21"/>
                <w:szCs w:val="21"/>
                <w:lang w:eastAsia="zh-CN"/>
              </w:rPr>
              <w:t>部分</w:t>
            </w:r>
            <w:r>
              <w:rPr>
                <w:rFonts w:hint="eastAsia"/>
                <w:b/>
                <w:bCs/>
                <w:color w:val="auto"/>
                <w:sz w:val="21"/>
                <w:szCs w:val="21"/>
              </w:rPr>
              <w:t>（</w:t>
            </w:r>
            <w:r>
              <w:rPr>
                <w:rFonts w:hint="eastAsia"/>
                <w:b/>
                <w:bCs/>
                <w:color w:val="auto"/>
                <w:sz w:val="21"/>
                <w:szCs w:val="21"/>
                <w:lang w:val="en-US" w:eastAsia="zh-CN"/>
              </w:rPr>
              <w:t>30</w:t>
            </w:r>
            <w:r>
              <w:rPr>
                <w:rFonts w:hint="eastAsia"/>
                <w:b/>
                <w:bCs/>
                <w:color w:val="auto"/>
                <w:sz w:val="21"/>
                <w:szCs w:val="21"/>
              </w:rPr>
              <w:t>分）</w:t>
            </w:r>
          </w:p>
        </w:tc>
      </w:tr>
      <w:tr>
        <w:tblPrEx>
          <w:tblCellMar>
            <w:top w:w="0" w:type="dxa"/>
            <w:left w:w="108" w:type="dxa"/>
            <w:bottom w:w="0" w:type="dxa"/>
            <w:right w:w="108" w:type="dxa"/>
          </w:tblCellMar>
        </w:tblPrEx>
        <w:trPr>
          <w:trHeight w:val="920"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bidi w:val="0"/>
              <w:jc w:val="center"/>
              <w:rPr>
                <w:b/>
                <w:color w:val="auto"/>
                <w:sz w:val="21"/>
                <w:szCs w:val="21"/>
              </w:rPr>
            </w:pPr>
            <w:r>
              <w:rPr>
                <w:rFonts w:hint="eastAsia" w:asciiTheme="minorEastAsia" w:hAnsiTheme="minorEastAsia" w:eastAsiaTheme="minorEastAsia" w:cstheme="minorEastAsia"/>
                <w:lang w:val="en-US" w:eastAsia="zh-CN"/>
              </w:rPr>
              <w:t>项目组配备</w:t>
            </w:r>
          </w:p>
        </w:tc>
        <w:tc>
          <w:tcPr>
            <w:tcW w:w="708"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Times New Roman"/>
                <w:color w:val="auto"/>
                <w:sz w:val="21"/>
                <w:szCs w:val="21"/>
                <w:lang w:val="en-US" w:eastAsia="zh-CN"/>
              </w:rPr>
            </w:pPr>
            <w:r>
              <w:rPr>
                <w:rFonts w:hint="eastAsia" w:asciiTheme="minorEastAsia" w:hAnsiTheme="minorEastAsia" w:eastAsiaTheme="minorEastAsia" w:cstheme="minorEastAsia"/>
                <w:lang w:val="en-US" w:eastAsia="zh-CN"/>
              </w:rPr>
              <w:t>10分</w:t>
            </w:r>
          </w:p>
        </w:tc>
        <w:tc>
          <w:tcPr>
            <w:tcW w:w="6878"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项目组人员中每具备一个中级职称的加2分，最多计2分，项目组人员中每具备一个高级职称的加3分。</w:t>
            </w:r>
          </w:p>
          <w:p>
            <w:pPr>
              <w:spacing w:line="360" w:lineRule="auto"/>
              <w:ind w:right="-86" w:rightChars="-41"/>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本项最多计10分。</w:t>
            </w:r>
          </w:p>
          <w:p>
            <w:pPr>
              <w:spacing w:line="360" w:lineRule="auto"/>
              <w:ind w:right="-86" w:rightChars="-41"/>
              <w:rPr>
                <w:rFonts w:hint="eastAsia" w:ascii="宋体" w:hAnsi="宋体" w:cs="宋体"/>
                <w:color w:val="auto"/>
                <w:sz w:val="21"/>
                <w:szCs w:val="21"/>
                <w:lang w:val="en-US" w:eastAsia="zh-CN"/>
              </w:rPr>
            </w:pPr>
            <w:r>
              <w:rPr>
                <w:rFonts w:hint="eastAsia" w:asciiTheme="minorEastAsia" w:hAnsiTheme="minorEastAsia" w:eastAsiaTheme="minorEastAsia" w:cstheme="minorEastAsia"/>
                <w:color w:val="auto"/>
                <w:szCs w:val="21"/>
                <w:lang w:val="en-US" w:eastAsia="zh-CN"/>
              </w:rPr>
              <w:t>注：提供证书复印件加盖公章，原件备查，否则不计分。</w:t>
            </w:r>
          </w:p>
        </w:tc>
      </w:tr>
      <w:tr>
        <w:tblPrEx>
          <w:tblCellMar>
            <w:top w:w="0" w:type="dxa"/>
            <w:left w:w="108" w:type="dxa"/>
            <w:bottom w:w="0" w:type="dxa"/>
            <w:right w:w="108" w:type="dxa"/>
          </w:tblCellMar>
        </w:tblPrEx>
        <w:trPr>
          <w:trHeight w:val="920"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bidi w:val="0"/>
              <w:jc w:val="center"/>
              <w:rPr>
                <w:b/>
                <w:color w:val="auto"/>
                <w:sz w:val="21"/>
                <w:szCs w:val="21"/>
              </w:rPr>
            </w:pPr>
            <w:r>
              <w:rPr>
                <w:rFonts w:hint="eastAsia" w:asciiTheme="minorEastAsia" w:hAnsiTheme="minorEastAsia" w:eastAsiaTheme="minorEastAsia" w:cstheme="minorEastAsia"/>
                <w:lang w:val="en-US" w:eastAsia="zh-CN"/>
              </w:rPr>
              <w:t>售后服务方案</w:t>
            </w:r>
          </w:p>
        </w:tc>
        <w:tc>
          <w:tcPr>
            <w:tcW w:w="708"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Times New Roman"/>
                <w:color w:val="auto"/>
                <w:sz w:val="21"/>
                <w:szCs w:val="21"/>
                <w:lang w:val="en-US" w:eastAsia="zh-CN"/>
              </w:rPr>
            </w:pPr>
            <w:r>
              <w:rPr>
                <w:rFonts w:hint="eastAsia" w:asciiTheme="minorEastAsia" w:hAnsiTheme="minorEastAsia" w:eastAsiaTheme="minorEastAsia" w:cstheme="minorEastAsia"/>
                <w:lang w:val="en-US" w:eastAsia="zh-CN"/>
              </w:rPr>
              <w:t>8分</w:t>
            </w:r>
          </w:p>
        </w:tc>
        <w:tc>
          <w:tcPr>
            <w:tcW w:w="6878"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rPr>
                <w:rFonts w:hint="eastAsia" w:ascii="宋体" w:hAnsi="宋体" w:cs="宋体"/>
                <w:color w:val="auto"/>
                <w:sz w:val="21"/>
                <w:szCs w:val="21"/>
                <w:lang w:val="en-US" w:eastAsia="zh-CN"/>
              </w:rPr>
            </w:pPr>
            <w:r>
              <w:rPr>
                <w:rFonts w:hint="eastAsia" w:asciiTheme="minorEastAsia" w:hAnsiTheme="minorEastAsia" w:eastAsiaTheme="minorEastAsia" w:cstheme="minorEastAsia"/>
                <w:color w:val="auto"/>
                <w:szCs w:val="21"/>
                <w:lang w:val="en-US" w:eastAsia="zh-CN"/>
              </w:rPr>
              <w:t>针对本项目实际情况提供售后服务方案，从方案的全面性、便捷性、高效性、服务机构设定的位置、响应的时效性、固定服务机构，等方面进行综合评审：优的计8分，良的计5分，一般的计2分，没有提供方案及承诺或无固定服务机构不得分。</w:t>
            </w:r>
          </w:p>
        </w:tc>
      </w:tr>
      <w:tr>
        <w:tblPrEx>
          <w:tblCellMar>
            <w:top w:w="0" w:type="dxa"/>
            <w:left w:w="108" w:type="dxa"/>
            <w:bottom w:w="0" w:type="dxa"/>
            <w:right w:w="108" w:type="dxa"/>
          </w:tblCellMar>
        </w:tblPrEx>
        <w:trPr>
          <w:trHeight w:val="920"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bidi w:val="0"/>
              <w:jc w:val="center"/>
              <w:rPr>
                <w:b/>
                <w:color w:val="auto"/>
                <w:sz w:val="21"/>
                <w:szCs w:val="21"/>
              </w:rPr>
            </w:pPr>
            <w:r>
              <w:rPr>
                <w:rFonts w:hint="eastAsia" w:asciiTheme="minorEastAsia" w:hAnsiTheme="minorEastAsia" w:eastAsiaTheme="minorEastAsia" w:cstheme="minorEastAsia"/>
                <w:lang w:val="en-US" w:eastAsia="zh-CN"/>
              </w:rPr>
              <w:t>企业信誉</w:t>
            </w:r>
          </w:p>
        </w:tc>
        <w:tc>
          <w:tcPr>
            <w:tcW w:w="708"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Times New Roman"/>
                <w:color w:val="auto"/>
                <w:sz w:val="21"/>
                <w:szCs w:val="21"/>
                <w:lang w:val="en-US" w:eastAsia="zh-CN"/>
              </w:rPr>
            </w:pPr>
            <w:r>
              <w:rPr>
                <w:rFonts w:hint="eastAsia" w:asciiTheme="minorEastAsia" w:hAnsiTheme="minorEastAsia" w:eastAsiaTheme="minorEastAsia" w:cstheme="minorEastAsia"/>
                <w:lang w:val="en-US" w:eastAsia="zh-CN"/>
              </w:rPr>
              <w:t>6分</w:t>
            </w:r>
          </w:p>
        </w:tc>
        <w:tc>
          <w:tcPr>
            <w:tcW w:w="6878"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投标人具有有效的省级及以上行业（环境治理或环境保护）协会颁发的荣誉证书的，每个计4分；市级行业协会颁发的荣誉证书的，每个计1分，最多计2个。</w:t>
            </w:r>
          </w:p>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本项最多计6分。</w:t>
            </w:r>
          </w:p>
          <w:p>
            <w:pPr>
              <w:spacing w:line="360" w:lineRule="auto"/>
              <w:ind w:right="-86" w:rightChars="-41"/>
              <w:rPr>
                <w:rFonts w:hint="eastAsia" w:ascii="宋体" w:hAnsi="宋体" w:cs="宋体"/>
                <w:color w:val="auto"/>
                <w:sz w:val="21"/>
                <w:szCs w:val="21"/>
                <w:lang w:val="en-US" w:eastAsia="zh-CN"/>
              </w:rPr>
            </w:pPr>
            <w:r>
              <w:rPr>
                <w:rFonts w:hint="eastAsia" w:asciiTheme="minorEastAsia" w:hAnsiTheme="minorEastAsia" w:eastAsiaTheme="minorEastAsia" w:cstheme="minorEastAsia"/>
                <w:color w:val="auto"/>
                <w:szCs w:val="21"/>
                <w:lang w:val="en-US" w:eastAsia="zh-CN"/>
              </w:rPr>
              <w:t>注：提供证书复印件加盖公章，原件备查，否则不计分。</w:t>
            </w:r>
          </w:p>
        </w:tc>
      </w:tr>
      <w:tr>
        <w:tblPrEx>
          <w:tblCellMar>
            <w:top w:w="0" w:type="dxa"/>
            <w:left w:w="108" w:type="dxa"/>
            <w:bottom w:w="0" w:type="dxa"/>
            <w:right w:w="108" w:type="dxa"/>
          </w:tblCellMar>
        </w:tblPrEx>
        <w:trPr>
          <w:trHeight w:val="748"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Times New Roman"/>
                <w:color w:val="auto"/>
                <w:sz w:val="21"/>
                <w:szCs w:val="21"/>
                <w:lang w:val="en-US" w:eastAsia="zh-CN"/>
              </w:rPr>
            </w:pPr>
            <w:r>
              <w:rPr>
                <w:rFonts w:hint="eastAsia" w:asciiTheme="minorEastAsia" w:hAnsiTheme="minorEastAsia" w:eastAsiaTheme="minorEastAsia" w:cstheme="minorEastAsia"/>
                <w:lang w:val="en-US" w:eastAsia="zh-CN"/>
              </w:rPr>
              <w:t>类似经验</w:t>
            </w:r>
          </w:p>
        </w:tc>
        <w:tc>
          <w:tcPr>
            <w:tcW w:w="708" w:type="dxa"/>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宋体" w:hAnsi="宋体" w:eastAsia="宋体" w:cs="Times New Roman"/>
                <w:color w:val="auto"/>
                <w:sz w:val="21"/>
                <w:szCs w:val="21"/>
                <w:lang w:val="en-US" w:eastAsia="zh-CN"/>
              </w:rPr>
            </w:pPr>
            <w:r>
              <w:rPr>
                <w:rFonts w:hint="eastAsia" w:asciiTheme="minorEastAsia" w:hAnsiTheme="minorEastAsia" w:eastAsiaTheme="minorEastAsia" w:cstheme="minorEastAsia"/>
                <w:lang w:val="en-US" w:eastAsia="zh-CN"/>
              </w:rPr>
              <w:t>6分</w:t>
            </w:r>
          </w:p>
        </w:tc>
        <w:tc>
          <w:tcPr>
            <w:tcW w:w="6878" w:type="dxa"/>
            <w:tcBorders>
              <w:top w:val="single" w:color="auto" w:sz="4" w:space="0"/>
              <w:left w:val="single" w:color="auto" w:sz="4" w:space="0"/>
              <w:bottom w:val="single" w:color="auto" w:sz="4" w:space="0"/>
              <w:right w:val="single" w:color="auto" w:sz="4" w:space="0"/>
            </w:tcBorders>
            <w:vAlign w:val="center"/>
          </w:tcPr>
          <w:p>
            <w:pPr>
              <w:spacing w:line="360" w:lineRule="auto"/>
              <w:ind w:right="-86" w:rightChars="-41"/>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投标人自2016年以来完成过1个医院类似经验的计3分，最多计6分。</w:t>
            </w:r>
          </w:p>
          <w:p>
            <w:pPr>
              <w:spacing w:line="360" w:lineRule="auto"/>
              <w:ind w:right="-86" w:rightChars="-41"/>
              <w:rPr>
                <w:rFonts w:hint="eastAsia" w:ascii="宋体" w:hAnsi="宋体" w:cs="宋体"/>
                <w:color w:val="auto"/>
                <w:sz w:val="21"/>
                <w:szCs w:val="21"/>
                <w:lang w:val="en-US" w:eastAsia="zh-CN"/>
              </w:rPr>
            </w:pPr>
            <w:r>
              <w:rPr>
                <w:rFonts w:hint="eastAsia" w:asciiTheme="minorEastAsia" w:hAnsiTheme="minorEastAsia" w:eastAsiaTheme="minorEastAsia" w:cstheme="minorEastAsia"/>
                <w:color w:val="auto"/>
                <w:szCs w:val="21"/>
                <w:lang w:val="en-US" w:eastAsia="zh-CN"/>
              </w:rPr>
              <w:t>注：提供完整合同复印件加盖公章，原件备查，否则不计分。</w:t>
            </w:r>
          </w:p>
        </w:tc>
      </w:tr>
      <w:tr>
        <w:tblPrEx>
          <w:tblCellMar>
            <w:top w:w="0" w:type="dxa"/>
            <w:left w:w="108" w:type="dxa"/>
            <w:bottom w:w="0" w:type="dxa"/>
            <w:right w:w="108" w:type="dxa"/>
          </w:tblCellMar>
        </w:tblPrEx>
        <w:trPr>
          <w:trHeight w:val="629"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 w:val="21"/>
                <w:szCs w:val="21"/>
              </w:rPr>
            </w:pPr>
            <w:r>
              <w:rPr>
                <w:rFonts w:hint="eastAsia"/>
                <w:b/>
                <w:color w:val="auto"/>
                <w:sz w:val="21"/>
                <w:szCs w:val="21"/>
              </w:rPr>
              <w:t>其它说明</w:t>
            </w:r>
          </w:p>
        </w:tc>
        <w:tc>
          <w:tcPr>
            <w:tcW w:w="7586" w:type="dxa"/>
            <w:gridSpan w:val="2"/>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Theme="majorEastAsia"/>
                <w:color w:val="auto"/>
                <w:sz w:val="21"/>
                <w:szCs w:val="21"/>
                <w:lang w:eastAsia="zh-CN"/>
              </w:rPr>
            </w:pPr>
            <w:r>
              <w:rPr>
                <w:rFonts w:hint="eastAsia" w:asciiTheme="majorEastAsia" w:hAnsiTheme="majorEastAsia" w:eastAsiaTheme="majorEastAsia" w:cstheme="majorEastAsia"/>
                <w:b/>
                <w:color w:val="auto"/>
                <w:sz w:val="21"/>
                <w:szCs w:val="21"/>
              </w:rPr>
              <w:t>以上各项计分，投标人能提供相关资料的尽须提供，供评委计分，如不能提供的，评委计分无依据，该计分单项计0分。所有计分项，投标人除在投标文件中提供复印件并加盖投标单位公章外，</w:t>
            </w:r>
            <w:r>
              <w:rPr>
                <w:rFonts w:hint="eastAsia" w:asciiTheme="majorEastAsia" w:hAnsiTheme="majorEastAsia" w:eastAsiaTheme="majorEastAsia" w:cstheme="majorEastAsia"/>
                <w:b/>
                <w:color w:val="auto"/>
                <w:sz w:val="21"/>
                <w:szCs w:val="21"/>
                <w:lang w:eastAsia="zh-CN"/>
              </w:rPr>
              <w:t>需提供原件供评委查验</w:t>
            </w:r>
            <w:r>
              <w:rPr>
                <w:rFonts w:hint="eastAsia" w:asciiTheme="majorEastAsia" w:hAnsiTheme="majorEastAsia" w:eastAsiaTheme="majorEastAsia" w:cstheme="majorEastAsia"/>
                <w:b/>
                <w:color w:val="auto"/>
                <w:sz w:val="21"/>
                <w:szCs w:val="21"/>
              </w:rPr>
              <w:t>，原件还需单独</w:t>
            </w:r>
            <w:r>
              <w:rPr>
                <w:rFonts w:hint="eastAsia" w:asciiTheme="majorEastAsia" w:hAnsiTheme="majorEastAsia" w:eastAsiaTheme="majorEastAsia" w:cstheme="majorEastAsia"/>
                <w:b/>
                <w:color w:val="auto"/>
                <w:sz w:val="21"/>
                <w:szCs w:val="21"/>
                <w:lang w:eastAsia="zh-CN"/>
              </w:rPr>
              <w:t>包装</w:t>
            </w:r>
            <w:r>
              <w:rPr>
                <w:rFonts w:hint="eastAsia" w:asciiTheme="majorEastAsia" w:hAnsiTheme="majorEastAsia" w:eastAsiaTheme="majorEastAsia" w:cstheme="majorEastAsia"/>
                <w:b/>
                <w:color w:val="auto"/>
                <w:sz w:val="21"/>
                <w:szCs w:val="21"/>
              </w:rPr>
              <w:t>并随同投标文件，在投标截止时间前一同递交核实，评标结束后现场退还。评标委员会不接受投标截止时间后投标人提交的任何资料。未提供原件或原件提供不全或当投标文件中的复印件与递交的原件不符时，单项该计分的也不予计分；当复印件与原件一致时，评委方可按计分标准予以计分</w:t>
            </w:r>
            <w:r>
              <w:rPr>
                <w:rFonts w:hint="eastAsia" w:asciiTheme="majorEastAsia" w:hAnsiTheme="majorEastAsia" w:eastAsiaTheme="majorEastAsia" w:cstheme="majorEastAsia"/>
                <w:b/>
                <w:color w:val="auto"/>
                <w:sz w:val="21"/>
                <w:szCs w:val="21"/>
                <w:lang w:eastAsia="zh-CN"/>
              </w:rPr>
              <w:t>。</w:t>
            </w:r>
          </w:p>
        </w:tc>
      </w:tr>
    </w:tbl>
    <w:p>
      <w:pPr>
        <w:widowControl/>
        <w:jc w:val="left"/>
        <w:rPr>
          <w:color w:val="FF0000"/>
        </w:rPr>
        <w:sectPr>
          <w:pgSz w:w="11906" w:h="16838"/>
          <w:pgMar w:top="1020" w:right="1587" w:bottom="1191" w:left="1587" w:header="851" w:footer="992" w:gutter="0"/>
          <w:pgNumType w:fmt="numberInDash"/>
          <w:cols w:space="0" w:num="1"/>
          <w:docGrid w:type="lines" w:linePitch="312" w:charSpace="0"/>
        </w:sectPr>
      </w:pPr>
    </w:p>
    <w:p>
      <w:pPr>
        <w:pStyle w:val="7"/>
        <w:numPr>
          <w:ilvl w:val="0"/>
          <w:numId w:val="0"/>
        </w:numPr>
        <w:shd w:val="clear"/>
        <w:jc w:val="center"/>
        <w:rPr>
          <w:rFonts w:ascii="黑体" w:hAnsi="黑体" w:eastAsia="黑体"/>
          <w:color w:val="auto"/>
          <w:sz w:val="32"/>
          <w:szCs w:val="32"/>
        </w:rPr>
      </w:pPr>
      <w:bookmarkStart w:id="201" w:name="_Toc16659"/>
      <w:bookmarkStart w:id="202" w:name="_Toc35446191"/>
      <w:bookmarkStart w:id="203" w:name="_Toc27612"/>
      <w:bookmarkStart w:id="204" w:name="_Toc27741"/>
      <w:bookmarkStart w:id="205" w:name="_Toc5277"/>
      <w:bookmarkStart w:id="206" w:name="_Toc19897"/>
      <w:r>
        <w:rPr>
          <w:rFonts w:hint="eastAsia" w:ascii="黑体" w:hAnsi="黑体" w:eastAsia="黑体"/>
          <w:color w:val="auto"/>
          <w:sz w:val="32"/>
          <w:szCs w:val="32"/>
        </w:rPr>
        <w:t xml:space="preserve">第五章 </w:t>
      </w:r>
      <w:bookmarkEnd w:id="201"/>
      <w:bookmarkEnd w:id="202"/>
      <w:bookmarkEnd w:id="203"/>
      <w:bookmarkEnd w:id="204"/>
      <w:r>
        <w:rPr>
          <w:rFonts w:hint="eastAsia" w:ascii="黑体" w:hAnsi="黑体" w:eastAsia="黑体"/>
          <w:color w:val="auto"/>
          <w:sz w:val="32"/>
          <w:szCs w:val="32"/>
          <w:lang w:val="en-US" w:eastAsia="zh-CN"/>
        </w:rPr>
        <w:t>服务要求</w:t>
      </w:r>
      <w:bookmarkEnd w:id="205"/>
      <w:bookmarkEnd w:id="206"/>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heme="minorEastAsia" w:hAnsiTheme="minorEastAsia" w:eastAsiaTheme="minorEastAsia" w:cstheme="minorEastAsia"/>
          <w:color w:val="auto"/>
          <w:kern w:val="0"/>
          <w:sz w:val="21"/>
          <w:szCs w:val="21"/>
          <w:highlight w:val="none"/>
          <w:u w:val="none"/>
          <w:lang w:val="en-US" w:eastAsia="zh-CN"/>
        </w:rPr>
      </w:pPr>
      <w:bookmarkStart w:id="207" w:name="_Toc520"/>
      <w:bookmarkStart w:id="208" w:name="_Toc35446194"/>
      <w:bookmarkStart w:id="209" w:name="_Toc30617"/>
      <w:bookmarkStart w:id="210" w:name="_Toc23164"/>
      <w:bookmarkStart w:id="211" w:name="_Toc8446"/>
      <w:r>
        <w:rPr>
          <w:rFonts w:hint="eastAsia" w:asciiTheme="minorEastAsia" w:hAnsiTheme="minorEastAsia" w:eastAsiaTheme="minorEastAsia" w:cstheme="minorEastAsia"/>
          <w:b/>
          <w:bCs/>
          <w:color w:val="auto"/>
          <w:kern w:val="0"/>
          <w:sz w:val="21"/>
          <w:szCs w:val="21"/>
          <w:highlight w:val="none"/>
          <w:u w:val="none"/>
          <w:lang w:val="en-US" w:eastAsia="zh-CN"/>
        </w:rPr>
        <w:t>一、招标内容：</w:t>
      </w:r>
      <w:r>
        <w:rPr>
          <w:rFonts w:hint="eastAsia" w:asciiTheme="minorEastAsia" w:hAnsiTheme="minorEastAsia" w:eastAsiaTheme="minorEastAsia" w:cstheme="minorEastAsia"/>
          <w:color w:val="auto"/>
          <w:kern w:val="0"/>
          <w:sz w:val="21"/>
          <w:szCs w:val="21"/>
          <w:highlight w:val="none"/>
          <w:u w:val="none"/>
          <w:lang w:val="en-US" w:eastAsia="zh-CN"/>
        </w:rPr>
        <w:t>南华大学附属第一医院污水处理站运营托管服务采购项目重新立项</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heme="minorEastAsia" w:hAnsiTheme="minorEastAsia" w:eastAsiaTheme="minorEastAsia" w:cstheme="minorEastAsia"/>
          <w:b/>
          <w:bCs/>
          <w:color w:val="auto"/>
          <w:kern w:val="0"/>
          <w:sz w:val="21"/>
          <w:szCs w:val="21"/>
          <w:highlight w:val="none"/>
          <w:u w:val="none"/>
          <w:lang w:val="en-US" w:eastAsia="zh-CN"/>
        </w:rPr>
      </w:pPr>
      <w:r>
        <w:rPr>
          <w:rFonts w:hint="eastAsia" w:asciiTheme="minorEastAsia" w:hAnsiTheme="minorEastAsia" w:eastAsiaTheme="minorEastAsia" w:cstheme="minorEastAsia"/>
          <w:b/>
          <w:bCs/>
          <w:color w:val="auto"/>
          <w:kern w:val="0"/>
          <w:sz w:val="21"/>
          <w:szCs w:val="21"/>
          <w:highlight w:val="none"/>
          <w:u w:val="none"/>
          <w:lang w:val="en-US" w:eastAsia="zh-CN"/>
        </w:rPr>
        <w:t>二、技术服务要求</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1"/>
        <w:rPr>
          <w:rFonts w:hint="eastAsia" w:asciiTheme="minorEastAsia" w:hAnsiTheme="minorEastAsia" w:eastAsiaTheme="minorEastAsia" w:cstheme="minorEastAsia"/>
          <w:b/>
          <w:bCs/>
          <w:color w:val="auto"/>
          <w:kern w:val="0"/>
          <w:sz w:val="21"/>
          <w:szCs w:val="21"/>
          <w:highlight w:val="none"/>
          <w:u w:val="none"/>
          <w:lang w:val="en-US" w:eastAsia="zh-CN"/>
        </w:rPr>
      </w:pPr>
      <w:bookmarkStart w:id="212" w:name="_Toc9256"/>
      <w:bookmarkStart w:id="213" w:name="_Toc6264"/>
      <w:bookmarkStart w:id="214" w:name="_Toc17530"/>
      <w:bookmarkStart w:id="215" w:name="_Toc12621"/>
      <w:bookmarkStart w:id="216" w:name="_Toc28638"/>
      <w:r>
        <w:rPr>
          <w:rFonts w:hint="eastAsia" w:asciiTheme="minorEastAsia" w:hAnsiTheme="minorEastAsia" w:eastAsiaTheme="minorEastAsia" w:cstheme="minorEastAsia"/>
          <w:b/>
          <w:bCs/>
          <w:color w:val="auto"/>
          <w:kern w:val="0"/>
          <w:sz w:val="21"/>
          <w:szCs w:val="21"/>
          <w:highlight w:val="none"/>
          <w:u w:val="none"/>
          <w:lang w:val="en-US" w:eastAsia="zh-CN"/>
        </w:rPr>
        <w:t>（一）项目概况</w:t>
      </w:r>
      <w:bookmarkEnd w:id="212"/>
      <w:bookmarkEnd w:id="213"/>
      <w:bookmarkEnd w:id="214"/>
      <w:bookmarkEnd w:id="215"/>
      <w:bookmarkEnd w:id="216"/>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shd w:val="clear" w:color="auto" w:fill="auto"/>
          <w:lang w:val="en-US" w:eastAsia="zh-CN"/>
        </w:rPr>
      </w:pPr>
      <w:r>
        <w:rPr>
          <w:rFonts w:hint="eastAsia" w:asciiTheme="minorEastAsia" w:hAnsiTheme="minorEastAsia" w:eastAsiaTheme="minorEastAsia" w:cstheme="minorEastAsia"/>
          <w:color w:val="auto"/>
          <w:kern w:val="0"/>
          <w:szCs w:val="21"/>
          <w:highlight w:val="none"/>
          <w:shd w:val="clear" w:color="auto" w:fill="auto"/>
          <w:lang w:val="en-US" w:eastAsia="zh-CN"/>
        </w:rPr>
        <w:t>水排放量：4000T/D，废水经污水处理站处理后排入城区市政污水管网。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Theme="minorEastAsia" w:hAnsiTheme="minorEastAsia" w:eastAsiaTheme="minorEastAsia" w:cstheme="minorEastAsia"/>
          <w:b/>
          <w:bCs/>
          <w:color w:val="auto"/>
          <w:kern w:val="0"/>
          <w:szCs w:val="21"/>
          <w:highlight w:val="none"/>
          <w:shd w:val="clear" w:color="auto" w:fill="auto"/>
          <w:lang w:val="en-US" w:eastAsia="zh-CN"/>
        </w:rPr>
      </w:pPr>
      <w:bookmarkStart w:id="217" w:name="_Toc8101"/>
      <w:bookmarkStart w:id="218" w:name="_Toc31605"/>
      <w:bookmarkStart w:id="219" w:name="_Toc6354"/>
      <w:bookmarkStart w:id="220" w:name="_Toc4985"/>
      <w:bookmarkStart w:id="221" w:name="_Toc29466"/>
      <w:r>
        <w:rPr>
          <w:rFonts w:hint="eastAsia" w:asciiTheme="minorEastAsia" w:hAnsiTheme="minorEastAsia" w:eastAsiaTheme="minorEastAsia" w:cstheme="minorEastAsia"/>
          <w:b/>
          <w:bCs/>
          <w:color w:val="auto"/>
          <w:kern w:val="0"/>
          <w:szCs w:val="21"/>
          <w:highlight w:val="none"/>
          <w:shd w:val="clear" w:color="auto" w:fill="auto"/>
          <w:lang w:val="en-US" w:eastAsia="zh-CN"/>
        </w:rPr>
        <w:t>（二）项目要求</w:t>
      </w:r>
      <w:bookmarkEnd w:id="217"/>
      <w:bookmarkEnd w:id="218"/>
      <w:bookmarkEnd w:id="219"/>
      <w:bookmarkEnd w:id="220"/>
      <w:bookmarkEnd w:id="221"/>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shd w:val="clear" w:color="auto" w:fill="auto"/>
          <w:lang w:val="en-US" w:eastAsia="zh-CN"/>
        </w:rPr>
      </w:pPr>
      <w:r>
        <w:rPr>
          <w:rFonts w:hint="eastAsia" w:asciiTheme="minorEastAsia" w:hAnsiTheme="minorEastAsia" w:eastAsiaTheme="minorEastAsia" w:cstheme="minorEastAsia"/>
          <w:color w:val="auto"/>
          <w:kern w:val="0"/>
          <w:szCs w:val="21"/>
          <w:highlight w:val="none"/>
          <w:shd w:val="clear" w:color="auto" w:fill="auto"/>
          <w:lang w:val="en-US" w:eastAsia="zh-CN"/>
        </w:rPr>
        <w:t xml:space="preserve">为了使医院污水处理站运营达到规范管理和安全生产的要求，污水排放满足我国《医疗机构水污染物排放标准》(GB18466-2005）污水预处理限值达标的管理，以及满足其他职能管理部门对医疗机构污水排放要求的规定，特组织本次招标活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Theme="minorEastAsia" w:hAnsiTheme="minorEastAsia" w:eastAsiaTheme="minorEastAsia" w:cstheme="minorEastAsia"/>
          <w:color w:val="auto"/>
          <w:kern w:val="0"/>
          <w:szCs w:val="21"/>
          <w:highlight w:val="none"/>
          <w:u w:val="none"/>
          <w:shd w:val="clear" w:color="auto" w:fill="auto"/>
          <w:lang w:val="en-US" w:eastAsia="zh-CN"/>
        </w:rPr>
      </w:pPr>
      <w:bookmarkStart w:id="222" w:name="_Toc13671"/>
      <w:bookmarkStart w:id="223" w:name="_Toc32499"/>
      <w:bookmarkStart w:id="224" w:name="_Toc9811"/>
      <w:bookmarkStart w:id="225" w:name="_Toc25885"/>
      <w:bookmarkStart w:id="226" w:name="_Toc4170"/>
      <w:r>
        <w:rPr>
          <w:rFonts w:hint="eastAsia" w:asciiTheme="minorEastAsia" w:hAnsiTheme="minorEastAsia" w:eastAsiaTheme="minorEastAsia" w:cstheme="minorEastAsia"/>
          <w:b/>
          <w:bCs/>
          <w:color w:val="auto"/>
          <w:kern w:val="0"/>
          <w:szCs w:val="21"/>
          <w:highlight w:val="none"/>
          <w:shd w:val="clear" w:color="auto" w:fill="auto"/>
          <w:lang w:val="en-US" w:eastAsia="zh-CN"/>
        </w:rPr>
        <w:t>（三）项目预算</w:t>
      </w:r>
      <w:r>
        <w:rPr>
          <w:rFonts w:hint="eastAsia" w:asciiTheme="minorEastAsia" w:hAnsiTheme="minorEastAsia" w:eastAsiaTheme="minorEastAsia" w:cstheme="minorEastAsia"/>
          <w:color w:val="auto"/>
          <w:kern w:val="0"/>
          <w:szCs w:val="21"/>
          <w:highlight w:val="none"/>
          <w:shd w:val="clear" w:color="auto" w:fill="auto"/>
          <w:lang w:val="en-US" w:eastAsia="zh-CN"/>
        </w:rPr>
        <w:t>：77.</w:t>
      </w:r>
      <w:r>
        <w:rPr>
          <w:rFonts w:hint="eastAsia" w:asciiTheme="minorEastAsia" w:hAnsiTheme="minorEastAsia" w:eastAsiaTheme="minorEastAsia" w:cstheme="minorEastAsia"/>
          <w:color w:val="auto"/>
          <w:kern w:val="0"/>
          <w:szCs w:val="21"/>
          <w:highlight w:val="none"/>
          <w:u w:val="none"/>
          <w:shd w:val="clear" w:color="auto" w:fill="auto"/>
          <w:lang w:val="en-US" w:eastAsia="zh-CN"/>
        </w:rPr>
        <w:t>9645万元/年</w:t>
      </w:r>
      <w:bookmarkEnd w:id="222"/>
      <w:r>
        <w:rPr>
          <w:rFonts w:hint="eastAsia" w:asciiTheme="minorEastAsia" w:hAnsiTheme="minorEastAsia" w:eastAsiaTheme="minorEastAsia" w:cstheme="minorEastAsia"/>
          <w:color w:val="auto"/>
          <w:kern w:val="0"/>
          <w:szCs w:val="21"/>
          <w:highlight w:val="none"/>
          <w:u w:val="none"/>
          <w:shd w:val="clear" w:color="auto" w:fill="auto"/>
          <w:lang w:val="en-US" w:eastAsia="zh-CN"/>
        </w:rPr>
        <w:t>，</w:t>
      </w:r>
      <w:r>
        <w:rPr>
          <w:rFonts w:hint="eastAsia" w:ascii="宋体" w:hAnsi="宋体" w:eastAsia="宋体" w:cs="宋体"/>
          <w:color w:val="000000"/>
          <w:kern w:val="0"/>
          <w:sz w:val="21"/>
          <w:szCs w:val="21"/>
          <w:highlight w:val="none"/>
          <w:u w:val="none"/>
          <w:lang w:eastAsia="zh-CN"/>
        </w:rPr>
        <w:t>233.8935万元</w:t>
      </w:r>
      <w:r>
        <w:rPr>
          <w:rFonts w:hint="eastAsia" w:ascii="宋体" w:hAnsi="宋体" w:eastAsia="宋体" w:cs="宋体"/>
          <w:color w:val="000000"/>
          <w:kern w:val="0"/>
          <w:sz w:val="21"/>
          <w:szCs w:val="21"/>
          <w:highlight w:val="none"/>
          <w:u w:val="none"/>
          <w:lang w:val="en-US" w:eastAsia="zh-CN"/>
        </w:rPr>
        <w:t>/三年</w:t>
      </w:r>
      <w:r>
        <w:rPr>
          <w:rFonts w:hint="eastAsia" w:ascii="宋体" w:hAnsi="宋体" w:cs="宋体"/>
          <w:color w:val="000000"/>
          <w:kern w:val="0"/>
          <w:sz w:val="21"/>
          <w:szCs w:val="21"/>
          <w:highlight w:val="none"/>
          <w:u w:val="none"/>
          <w:lang w:val="en-US" w:eastAsia="zh-CN"/>
        </w:rPr>
        <w:t>。</w:t>
      </w:r>
      <w:bookmarkEnd w:id="223"/>
      <w:bookmarkEnd w:id="224"/>
      <w:bookmarkEnd w:id="225"/>
      <w:bookmarkEnd w:id="226"/>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Theme="minorEastAsia" w:hAnsiTheme="minorEastAsia" w:eastAsiaTheme="minorEastAsia" w:cstheme="minorEastAsia"/>
          <w:color w:val="auto"/>
          <w:kern w:val="0"/>
          <w:szCs w:val="21"/>
          <w:highlight w:val="none"/>
          <w:u w:val="none"/>
          <w:shd w:val="clear" w:color="auto" w:fill="auto"/>
          <w:lang w:val="en-US" w:eastAsia="zh-CN"/>
        </w:rPr>
      </w:pPr>
      <w:bookmarkStart w:id="227" w:name="_Toc26174"/>
      <w:bookmarkStart w:id="228" w:name="_Toc13802"/>
      <w:bookmarkStart w:id="229" w:name="_Toc16880"/>
      <w:bookmarkStart w:id="230" w:name="_Toc22366"/>
      <w:bookmarkStart w:id="231" w:name="_Toc28876"/>
      <w:r>
        <w:rPr>
          <w:rFonts w:hint="eastAsia" w:asciiTheme="minorEastAsia" w:hAnsiTheme="minorEastAsia" w:eastAsiaTheme="minorEastAsia" w:cstheme="minorEastAsia"/>
          <w:b/>
          <w:bCs/>
          <w:color w:val="auto"/>
          <w:kern w:val="0"/>
          <w:szCs w:val="21"/>
          <w:highlight w:val="none"/>
          <w:u w:val="none"/>
          <w:shd w:val="clear" w:color="auto" w:fill="auto"/>
          <w:lang w:val="en-US" w:eastAsia="zh-CN"/>
        </w:rPr>
        <w:t>（四）服务期限</w:t>
      </w:r>
      <w:r>
        <w:rPr>
          <w:rFonts w:hint="eastAsia" w:asciiTheme="minorEastAsia" w:hAnsiTheme="minorEastAsia" w:eastAsiaTheme="minorEastAsia" w:cstheme="minorEastAsia"/>
          <w:color w:val="auto"/>
          <w:kern w:val="0"/>
          <w:szCs w:val="21"/>
          <w:highlight w:val="none"/>
          <w:u w:val="none"/>
          <w:shd w:val="clear" w:color="auto" w:fill="auto"/>
          <w:lang w:val="en-US" w:eastAsia="zh-CN"/>
        </w:rPr>
        <w:t>：3年，具体时间以合同签订时间为准。</w:t>
      </w:r>
      <w:bookmarkEnd w:id="227"/>
      <w:bookmarkEnd w:id="228"/>
      <w:bookmarkEnd w:id="229"/>
      <w:bookmarkEnd w:id="230"/>
      <w:bookmarkEnd w:id="231"/>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Theme="minorEastAsia" w:hAnsiTheme="minorEastAsia" w:eastAsiaTheme="minorEastAsia" w:cstheme="minorEastAsia"/>
          <w:b/>
          <w:bCs/>
          <w:color w:val="auto"/>
          <w:kern w:val="0"/>
          <w:szCs w:val="21"/>
          <w:highlight w:val="none"/>
          <w:u w:val="none"/>
          <w:shd w:val="clear" w:color="auto" w:fill="auto"/>
          <w:lang w:val="en-US" w:eastAsia="zh-CN"/>
        </w:rPr>
      </w:pPr>
      <w:bookmarkStart w:id="232" w:name="_Toc21546"/>
      <w:bookmarkStart w:id="233" w:name="_Toc22461"/>
      <w:bookmarkStart w:id="234" w:name="_Toc2374"/>
      <w:bookmarkStart w:id="235" w:name="_Toc5125"/>
      <w:bookmarkStart w:id="236" w:name="_Toc16550"/>
      <w:r>
        <w:rPr>
          <w:rFonts w:hint="eastAsia" w:asciiTheme="minorEastAsia" w:hAnsiTheme="minorEastAsia" w:eastAsiaTheme="minorEastAsia" w:cstheme="minorEastAsia"/>
          <w:b/>
          <w:bCs/>
          <w:color w:val="auto"/>
          <w:kern w:val="0"/>
          <w:szCs w:val="21"/>
          <w:highlight w:val="none"/>
          <w:u w:val="none"/>
          <w:shd w:val="clear" w:color="auto" w:fill="auto"/>
          <w:lang w:val="en-US" w:eastAsia="zh-CN"/>
        </w:rPr>
        <w:t>（五）项目服务范围</w:t>
      </w:r>
      <w:bookmarkEnd w:id="232"/>
      <w:bookmarkEnd w:id="233"/>
      <w:bookmarkEnd w:id="234"/>
      <w:bookmarkEnd w:id="235"/>
      <w:bookmarkEnd w:id="236"/>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1、日常运营管理、设备正常运行、维护、保养、维修。所有为保证达标排放合法使用的化学药物与试剂。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2、配合相关部门对医院内污水排放取样化验。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 xml:space="preserve">3、负责托管合同期内有关污水处理工作的所有安全生产工作。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4、负责污水处理站运营资料、数据的收集。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5、接受委托方和环保部门及其他有关职能部门工作检查。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6、负责污水处理站的污水处理排放，各项指标必须达到《医疗机构水污染物排放标准》（GB18466-2005）中的预处理标准。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color w:val="auto"/>
          <w:kern w:val="0"/>
          <w:szCs w:val="21"/>
          <w:highlight w:val="none"/>
          <w:u w:val="none"/>
          <w:shd w:val="clear" w:color="auto" w:fill="auto"/>
          <w:lang w:val="en-US" w:eastAsia="zh-CN"/>
        </w:rPr>
        <w:t>7、负责在合同期间的污水达标排放与相关职能部门进行申报、审批、协调的全部工作。负责托管期间的排污许可证办理及费用。负责相关职能部门要求的各项检测费用并出具合格的检测报告。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Theme="minorEastAsia" w:hAnsiTheme="minorEastAsia" w:eastAsiaTheme="minorEastAsia" w:cstheme="minorEastAsia"/>
          <w:b/>
          <w:bCs/>
          <w:color w:val="auto"/>
          <w:kern w:val="0"/>
          <w:szCs w:val="21"/>
          <w:highlight w:val="none"/>
          <w:u w:val="none"/>
          <w:shd w:val="clear" w:color="auto" w:fill="auto"/>
          <w:lang w:val="en-US" w:eastAsia="zh-CN"/>
        </w:rPr>
      </w:pPr>
      <w:bookmarkStart w:id="237" w:name="_Toc25732"/>
      <w:bookmarkStart w:id="238" w:name="_Toc17582"/>
      <w:bookmarkStart w:id="239" w:name="_Toc6491"/>
      <w:bookmarkStart w:id="240" w:name="_Toc14611"/>
      <w:bookmarkStart w:id="241" w:name="_Toc28727"/>
      <w:r>
        <w:rPr>
          <w:rFonts w:hint="eastAsia" w:asciiTheme="minorEastAsia" w:hAnsiTheme="minorEastAsia" w:eastAsiaTheme="minorEastAsia" w:cstheme="minorEastAsia"/>
          <w:b/>
          <w:bCs/>
          <w:color w:val="auto"/>
          <w:kern w:val="0"/>
          <w:szCs w:val="21"/>
          <w:highlight w:val="none"/>
          <w:u w:val="none"/>
          <w:shd w:val="clear" w:color="auto" w:fill="auto"/>
          <w:lang w:val="en-US" w:eastAsia="zh-CN"/>
        </w:rPr>
        <w:t>（六）服务要求、质量和标准</w:t>
      </w:r>
      <w:bookmarkEnd w:id="237"/>
      <w:bookmarkEnd w:id="238"/>
      <w:bookmarkEnd w:id="239"/>
      <w:bookmarkEnd w:id="240"/>
      <w:bookmarkEnd w:id="241"/>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outlineLvl w:val="1"/>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bookmarkStart w:id="242" w:name="_Toc11942"/>
      <w:bookmarkStart w:id="243" w:name="_Toc15710"/>
      <w:bookmarkStart w:id="244" w:name="_Toc4924"/>
      <w:bookmarkStart w:id="245" w:name="_Toc10328"/>
      <w:bookmarkStart w:id="246" w:name="_Toc31354"/>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1、供应商应满足以下条件时，方可承担相应规模的污水处理设施的运营</w:t>
      </w:r>
      <w:bookmarkEnd w:id="242"/>
      <w:bookmarkEnd w:id="243"/>
      <w:bookmarkEnd w:id="244"/>
      <w:bookmarkEnd w:id="245"/>
      <w:bookmarkEnd w:id="246"/>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（1）应配置合理的运营管理机构和专业运维技术人员及经培训合格的污水处理工和其他专业人员，并配置合理的工具、器材等。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（2）满足环保监测要求的措施。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（3）具备运营项目的生产运营、设备管理、质量控制、安全和环境管理等各项规章制度。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（4）具有保障运营项目正常、安全、高效运营的可靠机制，有切实可行的应急预案。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outlineLvl w:val="1"/>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bookmarkStart w:id="247" w:name="_Toc29350"/>
      <w:bookmarkStart w:id="248" w:name="_Toc14674"/>
      <w:bookmarkStart w:id="249" w:name="_Toc22217"/>
      <w:bookmarkStart w:id="250" w:name="_Toc6287"/>
      <w:bookmarkStart w:id="251" w:name="_Toc10276"/>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2、总体要求</w:t>
      </w:r>
      <w:bookmarkEnd w:id="247"/>
      <w:bookmarkEnd w:id="248"/>
      <w:bookmarkEnd w:id="249"/>
      <w:bookmarkEnd w:id="250"/>
      <w:bookmarkEnd w:id="251"/>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（1）中标单位不得将该项目转包给第二承包人。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（2）中标单位须在中标后积极配合采购人，进场完成运营的交接工作。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（3）中标单位在运营服务期内造成人员伤亡和财产损失的，由中标单位承担相关责任并负责赔偿。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4）中标单位在运营期间，必须严格遵守相关的规章制度，确保运营正常，污水处理排放及脱水后污泥处理符合相关环保标准，同时按要求做好污水处理站原始运行资料、监测报告等材料的记录和整理。在污水处理站运营过程中发生的安全、环保、法律、经济风险等均由中标单位承担。必须保证污水达标排放（包含停水、停电及设备损坏、维修改造等突发事件期间的应急处理），并承担因排放不达标或其他原因造成的相关职能部门的全部罚款和所有法律责任（包含承担第三方人身安全及财产损失）。在合同期内的有关污水处理的所有安全事故，责任完全由中标单位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highlight w:val="none"/>
          <w:u w:val="none"/>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5）污水处理站的运行日志、监测记录、维修记录、污水排放记录表等必须由中标单位详实记录并妥善保存，并将本季度每月合格的监测报告一起按要求完整移交给采购人主管部门存档。在运营期内，中标单位有义务配合采购人做好上级部门的监督检查工作，并按要求提供相关材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6）中标单位在运营期间负责对医院相关科室产生的特殊医疗废水（具体内容按国家和相关职能部门的规定确定）进行处理（内容包含收集、处理、按规定排放等），在达到国家和相关职能部门规定的排放标准后进行合法排放。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（7）中标单位在运营期间，保证采购人的设备设施完好无损，正常运行，严格按照处理工艺执行，不得改变，保证污水处理水质达标。如造成设备设施损坏换或</w:t>
      </w:r>
      <w:r>
        <w:rPr>
          <w:rFonts w:hint="eastAsia" w:asciiTheme="minorEastAsia" w:hAnsiTheme="minorEastAsia" w:cstheme="minorEastAsia"/>
          <w:color w:val="auto"/>
          <w:szCs w:val="24"/>
          <w:highlight w:val="none"/>
          <w:u w:val="none"/>
        </w:rPr>
        <w:t>影响污水处理站正常</w:t>
      </w:r>
      <w:r>
        <w:rPr>
          <w:rFonts w:hint="eastAsia" w:asciiTheme="minorEastAsia" w:hAnsiTheme="minorEastAsia" w:cstheme="minorEastAsia"/>
          <w:color w:val="auto"/>
          <w:szCs w:val="24"/>
          <w:highlight w:val="none"/>
          <w:u w:val="none"/>
          <w:lang w:val="en-US" w:eastAsia="zh-CN"/>
        </w:rPr>
        <w:t>运行</w:t>
      </w: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，必须在采购人规定的时间内彻底整改，费用由中标单位负责。对采购人造成经济损失则按采购人要求赔偿。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8）在运营期间，中标单位现场人员不得少于5人。工作人员证件齐全。按劳动法规定合理用工，必须24小时轮流值班，每班时间不得超8小时，不得疲劳作业。合同期内的污水安全事故和人身安全事故及第三方安全事故由中标单位负全责。 中标单位工作人员必须遵守采购人的各项规章制度，服从采购人管理人员检查监督和考核。根据考核成绩决定罚款、付款及合同是否履约。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（9）中标单位要建立24小时值班制度，保持通讯渠道畅通，设立专门应急队伍，负责运营期间突发事件的处理，确保及时到位。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10）在中标单位运营期间，污水处理站必须随时接受各级环保部门和业主监管、检查、考核等。如发现中标单位处理污水不达标，每单项超标一次，采购人将扣除中标单位当月的运营管理费用并进行整改。若整改后再次随机检测或遇相关职能部门检查不达标，采购人可以单方面解除合同，要求经济索赔并追究中标单位相关法律责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11）污水处理站运营所需的药剂使用、易耗用品更换所需费用由中标单位自行承担；运营过程中使用的主要消耗件、消耗品必须及时更换，更换产生的费用由中标单位自行承担。不可为降低运营成本而延迟或拒绝更换主要消耗件、易耗品与配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（12）因违反操作规程或其他人为原因造成生产事故，导致生产设备损坏及影响污水处理站正常处理而导致经济损失，由中标单位承担全部费用，将追究相关责任单位与责任人的有关责任。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（13）中标单位在运营期间须负责污水处理站环境卫生保洁工作。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（14）中标单位必须做好所有设备、仪表和设施的运行和维护管理工作，保证设备运转正常，使固定资产保值。运营期满后，中标单位必须确保设备完好、备品备件完整，并提交移交方案，并在运营满后 7 日内完成相关交接手续。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（15）中标单位必须做好环保工作及安全生产等工作。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（16）污水站总排口水质未通过环保部门检测而被罚款的，由中标单位负责支付全部罚款并按要求整改。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（17）特别条款：提前终止中标单位运营权的条件（出现以下条件之一）：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①中标单位将污水站转包给其他单位进行运营；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②中标单位丧失运营能力或无力继续正常履行运营合同；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③污水站发生中毒、爆炸、火灾等安全事故，运营方要求中标单位在规定时间内进行整改，其逾期未整改或整改后仍达不到相关要求；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④因运营不达标或提供的运营资料不符合要求的。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outlineLvl w:val="1"/>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bookmarkStart w:id="252" w:name="_Toc3388"/>
      <w:bookmarkStart w:id="253" w:name="_Toc2707"/>
      <w:bookmarkStart w:id="254" w:name="_Toc22887"/>
      <w:bookmarkStart w:id="255" w:name="_Toc19030"/>
      <w:bookmarkStart w:id="256" w:name="_Toc21204"/>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3、方案编制要点</w:t>
      </w:r>
      <w:bookmarkEnd w:id="252"/>
      <w:bookmarkEnd w:id="253"/>
      <w:bookmarkEnd w:id="254"/>
      <w:bookmarkEnd w:id="255"/>
      <w:bookmarkEnd w:id="256"/>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投标人应根据采购人的相关要求，编制本服务项目的服务方案，方案内容包括但不限于以下内容：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 xml:space="preserve">（1）运营达到有关处理标准、安全标准、环境标准的保障措施和制度；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（2）运营管理质量保证措施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（3）内部管理规章制度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（4）材料更换与设备检修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（5）出水检测方案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kern w:val="0"/>
          <w:szCs w:val="21"/>
          <w:highlight w:val="none"/>
          <w:u w:val="none"/>
          <w:shd w:val="clear" w:color="auto" w:fill="auto"/>
          <w:lang w:val="en-US" w:eastAsia="zh-CN"/>
        </w:rPr>
        <w:t>（6）设备维护及保养方案</w:t>
      </w:r>
      <w:r>
        <w:rPr>
          <w:rFonts w:hint="eastAsia" w:asciiTheme="minorEastAsia" w:hAnsiTheme="minorEastAsia" w:eastAsiaTheme="minorEastAsia" w:cstheme="minorEastAsia"/>
          <w:color w:val="auto"/>
          <w:kern w:val="0"/>
          <w:szCs w:val="21"/>
          <w:highlight w:val="none"/>
          <w:u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1"/>
        <w:rPr>
          <w:rFonts w:hint="eastAsia" w:asciiTheme="minorEastAsia" w:hAnsiTheme="minorEastAsia" w:eastAsiaTheme="minorEastAsia" w:cstheme="minorEastAsia"/>
          <w:b/>
          <w:bCs/>
          <w:lang w:val="en-US" w:eastAsia="zh-CN"/>
        </w:rPr>
      </w:pPr>
      <w:bookmarkStart w:id="257" w:name="_Toc9982"/>
      <w:bookmarkStart w:id="258" w:name="_Toc19914"/>
      <w:bookmarkStart w:id="259" w:name="_Toc4634"/>
      <w:bookmarkStart w:id="260" w:name="_Toc6167"/>
      <w:bookmarkStart w:id="261" w:name="_Toc16324"/>
      <w:r>
        <w:rPr>
          <w:rFonts w:hint="eastAsia" w:asciiTheme="minorEastAsia" w:hAnsiTheme="minorEastAsia" w:eastAsiaTheme="minorEastAsia" w:cstheme="minorEastAsia"/>
          <w:b/>
          <w:bCs/>
          <w:lang w:val="en-US" w:eastAsia="zh-CN"/>
        </w:rPr>
        <w:t>（七）结算方法</w:t>
      </w:r>
      <w:bookmarkEnd w:id="257"/>
      <w:bookmarkEnd w:id="258"/>
      <w:bookmarkEnd w:id="259"/>
      <w:bookmarkEnd w:id="260"/>
      <w:bookmarkEnd w:id="261"/>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1、付款方：南华大学附属第一医院。</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2、付款方式：按合同约定。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三、对于上述项目要求，投标人应在投标文件中进行回应，</w:t>
      </w:r>
      <w:r>
        <w:rPr>
          <w:rFonts w:hint="eastAsia" w:asciiTheme="minorEastAsia" w:hAnsiTheme="minorEastAsia" w:eastAsiaTheme="minorEastAsia" w:cstheme="minorEastAsia"/>
          <w:b/>
          <w:bCs/>
          <w:sz w:val="21"/>
          <w:szCs w:val="21"/>
          <w:highlight w:val="none"/>
          <w:lang w:eastAsia="zh-CN"/>
        </w:rPr>
        <w:t>作出</w:t>
      </w:r>
      <w:r>
        <w:rPr>
          <w:rFonts w:hint="eastAsia" w:asciiTheme="minorEastAsia" w:hAnsiTheme="minorEastAsia" w:eastAsiaTheme="minorEastAsia" w:cstheme="minorEastAsia"/>
          <w:b/>
          <w:bCs/>
          <w:sz w:val="21"/>
          <w:szCs w:val="21"/>
          <w:lang w:eastAsia="zh-CN"/>
        </w:rPr>
        <w:t>承诺及说明。</w:t>
      </w:r>
    </w:p>
    <w:p>
      <w:pPr>
        <w:rPr>
          <w:rFonts w:hint="eastAsia" w:asciiTheme="minorEastAsia" w:hAnsiTheme="minorEastAsia" w:eastAsiaTheme="minorEastAsia" w:cstheme="minorEastAsia"/>
          <w:lang w:val="en-US" w:eastAsia="zh-CN"/>
        </w:rPr>
      </w:pPr>
    </w:p>
    <w:p>
      <w:pPr>
        <w:pStyle w:val="26"/>
        <w:adjustRightInd w:val="0"/>
        <w:snapToGrid w:val="0"/>
        <w:spacing w:line="360" w:lineRule="auto"/>
        <w:jc w:val="center"/>
        <w:outlineLvl w:val="0"/>
        <w:rPr>
          <w:rFonts w:hint="eastAsia" w:ascii="黑体" w:hAnsi="华文中宋" w:eastAsia="黑体"/>
          <w:b/>
          <w:sz w:val="32"/>
          <w:szCs w:val="32"/>
        </w:rPr>
        <w:sectPr>
          <w:headerReference r:id="rId6" w:type="first"/>
          <w:footerReference r:id="rId7" w:type="default"/>
          <w:headerReference r:id="rId5" w:type="even"/>
          <w:pgSz w:w="11906" w:h="16838"/>
          <w:pgMar w:top="1474" w:right="1474" w:bottom="1474" w:left="1588" w:header="1020" w:footer="992" w:gutter="0"/>
          <w:pgNumType w:fmt="numberInDash"/>
          <w:cols w:space="720" w:num="1"/>
          <w:docGrid w:type="lines" w:linePitch="312" w:charSpace="0"/>
        </w:sectPr>
      </w:pPr>
    </w:p>
    <w:p>
      <w:pPr>
        <w:pStyle w:val="26"/>
        <w:adjustRightInd w:val="0"/>
        <w:snapToGrid w:val="0"/>
        <w:spacing w:line="360" w:lineRule="auto"/>
        <w:jc w:val="center"/>
        <w:outlineLvl w:val="0"/>
        <w:rPr>
          <w:rFonts w:ascii="黑体" w:hAnsi="华文中宋" w:eastAsia="黑体"/>
          <w:b/>
          <w:sz w:val="32"/>
          <w:szCs w:val="32"/>
        </w:rPr>
      </w:pPr>
      <w:bookmarkStart w:id="262" w:name="_Toc21831"/>
      <w:r>
        <w:rPr>
          <w:rFonts w:hint="eastAsia" w:ascii="黑体" w:hAnsi="华文中宋" w:eastAsia="黑体"/>
          <w:b/>
          <w:sz w:val="32"/>
          <w:szCs w:val="32"/>
        </w:rPr>
        <w:t>第六章 政府采购合同</w:t>
      </w:r>
      <w:bookmarkEnd w:id="207"/>
      <w:bookmarkEnd w:id="208"/>
      <w:bookmarkEnd w:id="209"/>
      <w:bookmarkEnd w:id="210"/>
      <w:bookmarkEnd w:id="211"/>
      <w:bookmarkEnd w:id="262"/>
    </w:p>
    <w:p>
      <w:pPr>
        <w:rPr>
          <w:rFonts w:ascii="黑体" w:hAnsi="华文中宋" w:eastAsia="黑体"/>
          <w:b/>
          <w:sz w:val="28"/>
          <w:szCs w:val="28"/>
        </w:rPr>
      </w:pPr>
    </w:p>
    <w:p>
      <w:pPr>
        <w:pStyle w:val="8"/>
        <w:adjustRightInd w:val="0"/>
        <w:snapToGrid w:val="0"/>
        <w:jc w:val="center"/>
        <w:rPr>
          <w:rFonts w:ascii="黑体" w:hAnsi="华文中宋" w:eastAsia="黑体"/>
          <w:sz w:val="28"/>
          <w:szCs w:val="28"/>
        </w:rPr>
      </w:pPr>
      <w:bookmarkStart w:id="263" w:name="_Toc8190"/>
      <w:bookmarkStart w:id="264" w:name="_Toc4668"/>
      <w:bookmarkStart w:id="265" w:name="_Toc35446195"/>
      <w:bookmarkStart w:id="266" w:name="_Toc31998"/>
      <w:bookmarkStart w:id="267" w:name="_Toc1824"/>
      <w:bookmarkStart w:id="268" w:name="_Toc28613"/>
      <w:r>
        <w:rPr>
          <w:rFonts w:hint="eastAsia" w:ascii="黑体" w:hAnsi="华文中宋" w:eastAsia="黑体"/>
          <w:sz w:val="28"/>
          <w:szCs w:val="28"/>
        </w:rPr>
        <w:t>第一节 政府采购合同协议书</w:t>
      </w:r>
      <w:bookmarkEnd w:id="263"/>
      <w:bookmarkEnd w:id="264"/>
      <w:bookmarkEnd w:id="265"/>
      <w:bookmarkEnd w:id="266"/>
      <w:bookmarkEnd w:id="267"/>
      <w:bookmarkEnd w:id="268"/>
    </w:p>
    <w:p>
      <w:pPr>
        <w:adjustRightInd w:val="0"/>
        <w:snapToGrid w:val="0"/>
        <w:spacing w:line="360" w:lineRule="auto"/>
        <w:jc w:val="center"/>
        <w:rPr>
          <w:rFonts w:ascii="宋体" w:hAnsi="宋体"/>
          <w:szCs w:val="21"/>
        </w:rPr>
      </w:pPr>
    </w:p>
    <w:p>
      <w:pPr>
        <w:adjustRightInd w:val="0"/>
        <w:snapToGrid w:val="0"/>
        <w:spacing w:line="360" w:lineRule="auto"/>
        <w:ind w:firstLine="420" w:firstLineChars="200"/>
        <w:rPr>
          <w:rFonts w:ascii="宋体" w:hAnsi="宋体"/>
          <w:b/>
          <w:szCs w:val="21"/>
        </w:rPr>
      </w:pPr>
      <w:r>
        <w:rPr>
          <w:rFonts w:hint="eastAsia" w:ascii="宋体" w:hAnsi="宋体"/>
          <w:szCs w:val="21"/>
        </w:rPr>
        <w:t>采购合同编号：</w:t>
      </w:r>
    </w:p>
    <w:p>
      <w:pPr>
        <w:adjustRightInd w:val="0"/>
        <w:snapToGrid w:val="0"/>
        <w:spacing w:line="360" w:lineRule="auto"/>
        <w:ind w:firstLine="420" w:firstLineChars="200"/>
        <w:rPr>
          <w:rFonts w:ascii="宋体" w:hAnsi="宋体"/>
          <w:szCs w:val="21"/>
        </w:rPr>
      </w:pPr>
      <w:r>
        <w:rPr>
          <w:rFonts w:hint="eastAsia" w:ascii="宋体" w:hAnsi="宋体"/>
          <w:szCs w:val="21"/>
        </w:rPr>
        <w:t>采购人（全称）：（甲方）</w:t>
      </w:r>
    </w:p>
    <w:p>
      <w:pPr>
        <w:adjustRightInd w:val="0"/>
        <w:snapToGrid w:val="0"/>
        <w:spacing w:line="360" w:lineRule="auto"/>
        <w:ind w:firstLine="420" w:firstLineChars="200"/>
        <w:rPr>
          <w:rFonts w:ascii="宋体" w:hAnsi="宋体"/>
          <w:szCs w:val="21"/>
        </w:rPr>
      </w:pPr>
      <w:r>
        <w:rPr>
          <w:rFonts w:hint="eastAsia" w:ascii="宋体" w:hAnsi="宋体"/>
          <w:szCs w:val="21"/>
        </w:rPr>
        <w:t>供应商（全称）：（乙方）</w:t>
      </w:r>
    </w:p>
    <w:p>
      <w:pPr>
        <w:pStyle w:val="3"/>
        <w:adjustRightInd w:val="0"/>
        <w:snapToGrid w:val="0"/>
        <w:spacing w:after="0" w:line="360" w:lineRule="auto"/>
        <w:ind w:left="0" w:leftChars="0" w:firstLine="420" w:firstLineChars="200"/>
        <w:rPr>
          <w:rFonts w:ascii="宋体" w:hAnsi="宋体"/>
          <w:szCs w:val="21"/>
        </w:rPr>
      </w:pPr>
    </w:p>
    <w:p>
      <w:pPr>
        <w:pStyle w:val="3"/>
        <w:adjustRightInd w:val="0"/>
        <w:snapToGrid w:val="0"/>
        <w:spacing w:after="0" w:line="360" w:lineRule="auto"/>
        <w:ind w:left="0" w:leftChars="0" w:firstLine="420" w:firstLineChars="200"/>
        <w:rPr>
          <w:rFonts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22" w:firstLineChars="200"/>
        <w:rPr>
          <w:rFonts w:ascii="宋体" w:hAnsi="宋体"/>
          <w:b/>
          <w:szCs w:val="21"/>
        </w:rPr>
      </w:pPr>
      <w:r>
        <w:rPr>
          <w:rFonts w:hint="eastAsia" w:ascii="宋体" w:hAnsi="宋体"/>
          <w:b/>
          <w:szCs w:val="21"/>
        </w:rPr>
        <w:t>1.项目信息</w:t>
      </w:r>
    </w:p>
    <w:p>
      <w:pPr>
        <w:pStyle w:val="3"/>
        <w:adjustRightInd w:val="0"/>
        <w:snapToGrid w:val="0"/>
        <w:spacing w:after="0" w:line="360" w:lineRule="auto"/>
        <w:ind w:left="0" w:leftChars="0" w:firstLine="420" w:firstLineChars="200"/>
        <w:rPr>
          <w:rFonts w:ascii="宋体" w:hAnsi="宋体"/>
          <w:szCs w:val="21"/>
        </w:rPr>
      </w:pPr>
      <w:r>
        <w:rPr>
          <w:rFonts w:hint="eastAsia" w:ascii="宋体" w:hAnsi="宋体"/>
          <w:szCs w:val="21"/>
        </w:rPr>
        <w:t>（1）采购项目名称：</w:t>
      </w:r>
    </w:p>
    <w:p>
      <w:pPr>
        <w:pStyle w:val="3"/>
        <w:adjustRightInd w:val="0"/>
        <w:snapToGrid w:val="0"/>
        <w:spacing w:after="0" w:line="360" w:lineRule="auto"/>
        <w:ind w:left="0" w:leftChars="0" w:firstLine="420" w:firstLineChars="200"/>
        <w:rPr>
          <w:rFonts w:ascii="宋体" w:hAnsi="宋体"/>
          <w:szCs w:val="21"/>
        </w:rPr>
      </w:pPr>
      <w:r>
        <w:rPr>
          <w:rFonts w:hint="eastAsia" w:ascii="宋体" w:hAnsi="宋体"/>
          <w:szCs w:val="21"/>
        </w:rPr>
        <w:t>（2）采购计划编号：</w:t>
      </w:r>
    </w:p>
    <w:p>
      <w:pPr>
        <w:adjustRightInd w:val="0"/>
        <w:snapToGrid w:val="0"/>
        <w:spacing w:line="360" w:lineRule="auto"/>
        <w:ind w:firstLine="420" w:firstLineChars="200"/>
        <w:rPr>
          <w:rFonts w:ascii="宋体" w:hAnsi="宋体"/>
          <w:szCs w:val="21"/>
        </w:rPr>
      </w:pPr>
      <w:r>
        <w:rPr>
          <w:rFonts w:hint="eastAsia" w:ascii="宋体" w:hAnsi="宋体"/>
          <w:szCs w:val="21"/>
        </w:rPr>
        <w:t>（3）项目内容：</w:t>
      </w:r>
    </w:p>
    <w:p>
      <w:pPr>
        <w:adjustRightInd w:val="0"/>
        <w:snapToGrid w:val="0"/>
        <w:spacing w:line="360" w:lineRule="auto"/>
        <w:ind w:firstLine="422" w:firstLineChars="200"/>
        <w:rPr>
          <w:rFonts w:ascii="宋体" w:hAnsi="宋体"/>
          <w:b/>
          <w:szCs w:val="21"/>
        </w:rPr>
      </w:pPr>
      <w:r>
        <w:rPr>
          <w:rFonts w:hint="eastAsia" w:ascii="宋体" w:hAnsi="宋体"/>
          <w:b/>
          <w:szCs w:val="21"/>
        </w:rPr>
        <w:t>2.合同金额</w:t>
      </w:r>
    </w:p>
    <w:p>
      <w:pPr>
        <w:adjustRightInd w:val="0"/>
        <w:snapToGrid w:val="0"/>
        <w:spacing w:line="360" w:lineRule="auto"/>
        <w:ind w:firstLine="420" w:firstLineChars="200"/>
        <w:rPr>
          <w:rFonts w:ascii="宋体" w:hAnsi="宋体"/>
          <w:szCs w:val="21"/>
        </w:rPr>
      </w:pPr>
      <w:r>
        <w:rPr>
          <w:rFonts w:hint="eastAsia" w:ascii="宋体" w:hAnsi="宋体"/>
          <w:szCs w:val="21"/>
        </w:rPr>
        <w:t>（1）合同金额小写：</w:t>
      </w:r>
    </w:p>
    <w:p>
      <w:pPr>
        <w:adjustRightInd w:val="0"/>
        <w:snapToGrid w:val="0"/>
        <w:spacing w:line="360" w:lineRule="auto"/>
        <w:ind w:firstLine="1785" w:firstLineChars="850"/>
        <w:rPr>
          <w:rFonts w:ascii="宋体" w:hAnsi="宋体"/>
          <w:b/>
          <w:szCs w:val="21"/>
        </w:rPr>
      </w:pPr>
      <w:r>
        <w:rPr>
          <w:rFonts w:hint="eastAsia" w:ascii="宋体" w:hAnsi="宋体"/>
          <w:szCs w:val="21"/>
        </w:rPr>
        <w:t>大写：</w:t>
      </w:r>
    </w:p>
    <w:p>
      <w:pPr>
        <w:adjustRightInd w:val="0"/>
        <w:snapToGrid w:val="0"/>
        <w:spacing w:line="360" w:lineRule="auto"/>
        <w:ind w:firstLine="420" w:firstLineChars="200"/>
        <w:rPr>
          <w:rFonts w:ascii="宋体" w:hAnsi="宋体"/>
          <w:szCs w:val="21"/>
        </w:rPr>
      </w:pPr>
      <w:r>
        <w:rPr>
          <w:rFonts w:hint="eastAsia" w:ascii="宋体" w:hAnsi="宋体"/>
          <w:szCs w:val="21"/>
        </w:rPr>
        <w:t>（2）具体标的见附件。</w:t>
      </w:r>
    </w:p>
    <w:p>
      <w:pPr>
        <w:adjustRightInd w:val="0"/>
        <w:snapToGrid w:val="0"/>
        <w:spacing w:line="360" w:lineRule="auto"/>
        <w:ind w:firstLine="420" w:firstLineChars="200"/>
        <w:rPr>
          <w:rFonts w:ascii="宋体" w:hAnsi="宋体"/>
          <w:szCs w:val="21"/>
        </w:rPr>
      </w:pPr>
      <w:r>
        <w:rPr>
          <w:rFonts w:hint="eastAsia" w:ascii="宋体" w:hAnsi="宋体"/>
          <w:szCs w:val="21"/>
        </w:rPr>
        <w:t>（3）合同价格形式：</w:t>
      </w:r>
    </w:p>
    <w:p>
      <w:pPr>
        <w:adjustRightInd w:val="0"/>
        <w:snapToGrid w:val="0"/>
        <w:spacing w:line="360" w:lineRule="auto"/>
        <w:ind w:firstLine="422" w:firstLineChars="200"/>
        <w:rPr>
          <w:rFonts w:ascii="宋体" w:hAnsi="宋体"/>
          <w:szCs w:val="21"/>
          <w:u w:val="single"/>
        </w:rPr>
      </w:pPr>
      <w:r>
        <w:rPr>
          <w:rFonts w:hint="eastAsia" w:ascii="宋体" w:hAnsi="宋体"/>
          <w:b/>
          <w:szCs w:val="21"/>
        </w:rPr>
        <w:t>3.履行合同的时间、地点及方式</w:t>
      </w:r>
    </w:p>
    <w:p>
      <w:pPr>
        <w:adjustRightInd w:val="0"/>
        <w:snapToGrid w:val="0"/>
        <w:spacing w:line="360" w:lineRule="auto"/>
        <w:ind w:firstLine="420" w:firstLineChars="200"/>
        <w:rPr>
          <w:rFonts w:ascii="宋体" w:hAnsi="宋体"/>
          <w:szCs w:val="21"/>
        </w:rPr>
      </w:pPr>
      <w:r>
        <w:rPr>
          <w:rFonts w:hint="eastAsia" w:ascii="宋体" w:hAnsi="宋体"/>
          <w:szCs w:val="21"/>
        </w:rPr>
        <w:t>起始日期：年月日，完成日期：年月日；总日历天数：天。</w:t>
      </w:r>
    </w:p>
    <w:p>
      <w:pPr>
        <w:adjustRightInd w:val="0"/>
        <w:snapToGrid w:val="0"/>
        <w:spacing w:line="360" w:lineRule="auto"/>
        <w:ind w:firstLine="420" w:firstLineChars="200"/>
        <w:rPr>
          <w:rFonts w:ascii="宋体" w:hAnsi="宋体"/>
          <w:szCs w:val="21"/>
          <w:u w:val="single"/>
        </w:rPr>
      </w:pPr>
      <w:r>
        <w:rPr>
          <w:rFonts w:hint="eastAsia" w:ascii="宋体" w:hAnsi="宋体"/>
          <w:szCs w:val="21"/>
        </w:rPr>
        <w:t>地点</w:t>
      </w:r>
      <w:r>
        <w:rPr>
          <w:rFonts w:hint="eastAsia" w:ascii="宋体" w:hAnsi="宋体"/>
          <w:b/>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方式：</w:t>
      </w:r>
    </w:p>
    <w:p>
      <w:pPr>
        <w:adjustRightInd w:val="0"/>
        <w:snapToGrid w:val="0"/>
        <w:spacing w:line="360" w:lineRule="auto"/>
        <w:ind w:firstLine="422" w:firstLineChars="200"/>
        <w:rPr>
          <w:rFonts w:ascii="宋体" w:hAnsi="宋体"/>
          <w:b/>
          <w:szCs w:val="21"/>
        </w:rPr>
      </w:pPr>
      <w:r>
        <w:rPr>
          <w:rFonts w:hint="eastAsia" w:ascii="宋体" w:hAnsi="宋体"/>
          <w:b/>
          <w:szCs w:val="21"/>
        </w:rPr>
        <w:t>4.付款：</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ascii="宋体" w:hAnsi="宋体"/>
          <w:bCs/>
          <w:szCs w:val="21"/>
        </w:rPr>
        <w:t>1</w:t>
      </w:r>
      <w:r>
        <w:rPr>
          <w:rFonts w:hint="eastAsia" w:ascii="宋体" w:hAnsi="宋体"/>
          <w:bCs/>
          <w:szCs w:val="21"/>
        </w:rPr>
        <w:t>、预付款根据招标文件的约定，在合同签订前提交不超过合同金额10%的履约担保。</w:t>
      </w:r>
    </w:p>
    <w:p>
      <w:pPr>
        <w:adjustRightInd w:val="0"/>
        <w:snapToGrid w:val="0"/>
        <w:spacing w:line="360" w:lineRule="auto"/>
        <w:ind w:firstLine="422" w:firstLineChars="200"/>
        <w:rPr>
          <w:rFonts w:ascii="宋体" w:hAnsi="宋体"/>
          <w:b/>
          <w:szCs w:val="21"/>
        </w:rPr>
      </w:pPr>
      <w:r>
        <w:rPr>
          <w:rFonts w:hint="eastAsia" w:ascii="宋体" w:hAnsi="宋体"/>
          <w:b/>
          <w:szCs w:val="21"/>
        </w:rPr>
        <w:t>5.解决合同纠纷方式</w:t>
      </w:r>
    </w:p>
    <w:p>
      <w:pPr>
        <w:adjustRightInd w:val="0"/>
        <w:snapToGrid w:val="0"/>
        <w:spacing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提请仲裁；        </w:t>
      </w:r>
      <w:r>
        <w:rPr>
          <w:rFonts w:hint="eastAsia" w:ascii="宋体" w:hAnsi="宋体"/>
          <w:szCs w:val="21"/>
          <w:lang w:eastAsia="zh-CN"/>
        </w:rPr>
        <w:t>□</w:t>
      </w:r>
      <w:r>
        <w:rPr>
          <w:rFonts w:hint="eastAsia" w:ascii="宋体" w:hAnsi="宋体"/>
          <w:szCs w:val="21"/>
        </w:rPr>
        <w:t>向</w:t>
      </w:r>
      <w:r>
        <w:rPr>
          <w:rFonts w:hint="eastAsia" w:ascii="宋体" w:hAnsi="宋体"/>
          <w:color w:val="FF0000"/>
          <w:szCs w:val="21"/>
          <w:lang w:val="en-US" w:eastAsia="zh-CN"/>
        </w:rPr>
        <w:t>甲方所在地</w:t>
      </w:r>
      <w:r>
        <w:rPr>
          <w:rFonts w:hint="eastAsia" w:ascii="宋体" w:hAnsi="宋体"/>
          <w:szCs w:val="21"/>
        </w:rPr>
        <w:t>人民法院提起诉讼。</w:t>
      </w:r>
    </w:p>
    <w:p>
      <w:pPr>
        <w:adjustRightInd w:val="0"/>
        <w:snapToGrid w:val="0"/>
        <w:spacing w:line="360" w:lineRule="auto"/>
        <w:ind w:firstLine="422" w:firstLineChars="200"/>
        <w:rPr>
          <w:rFonts w:ascii="宋体" w:hAnsi="宋体"/>
          <w:b/>
          <w:szCs w:val="21"/>
        </w:rPr>
      </w:pPr>
      <w:r>
        <w:rPr>
          <w:rFonts w:hint="eastAsia" w:ascii="宋体" w:hAnsi="宋体"/>
          <w:b/>
          <w:szCs w:val="21"/>
        </w:rPr>
        <w:t>6.组成合同的文件</w:t>
      </w:r>
    </w:p>
    <w:p>
      <w:pPr>
        <w:adjustRightInd w:val="0"/>
        <w:snapToGrid w:val="0"/>
        <w:spacing w:line="360" w:lineRule="auto"/>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szCs w:val="21"/>
        </w:rPr>
      </w:pPr>
      <w:r>
        <w:rPr>
          <w:rFonts w:hint="eastAsia" w:ascii="宋体" w:hAnsi="宋体"/>
          <w:szCs w:val="21"/>
        </w:rPr>
        <w:t>（1）在招标或合同履行过程中乙方作出的承诺以及双方协商达成的变更或补充协议；</w:t>
      </w:r>
    </w:p>
    <w:p>
      <w:pPr>
        <w:adjustRightInd w:val="0"/>
        <w:snapToGrid w:val="0"/>
        <w:spacing w:line="360" w:lineRule="auto"/>
        <w:ind w:firstLine="420" w:firstLineChars="200"/>
        <w:rPr>
          <w:rFonts w:ascii="宋体" w:hAnsi="宋体"/>
          <w:szCs w:val="21"/>
        </w:rPr>
      </w:pPr>
      <w:r>
        <w:rPr>
          <w:rFonts w:hint="eastAsia" w:ascii="宋体" w:hAnsi="宋体"/>
          <w:szCs w:val="21"/>
        </w:rPr>
        <w:t>（2）中标通知书；</w:t>
      </w:r>
    </w:p>
    <w:p>
      <w:pPr>
        <w:adjustRightInd w:val="0"/>
        <w:snapToGrid w:val="0"/>
        <w:spacing w:line="360" w:lineRule="auto"/>
        <w:ind w:firstLine="420" w:firstLineChars="200"/>
        <w:rPr>
          <w:rFonts w:ascii="宋体" w:hAnsi="宋体"/>
          <w:szCs w:val="21"/>
        </w:rPr>
      </w:pPr>
      <w:r>
        <w:rPr>
          <w:rFonts w:hint="eastAsia" w:ascii="宋体" w:hAnsi="宋体"/>
          <w:szCs w:val="21"/>
        </w:rPr>
        <w:t>（3）投标文件；</w:t>
      </w:r>
    </w:p>
    <w:p>
      <w:pPr>
        <w:adjustRightInd w:val="0"/>
        <w:snapToGrid w:val="0"/>
        <w:spacing w:line="360" w:lineRule="auto"/>
        <w:ind w:firstLine="420" w:firstLineChars="200"/>
        <w:rPr>
          <w:rFonts w:ascii="宋体" w:hAnsi="宋体"/>
          <w:szCs w:val="21"/>
        </w:rPr>
      </w:pPr>
      <w:r>
        <w:rPr>
          <w:rFonts w:hint="eastAsia" w:ascii="宋体" w:hAnsi="宋体"/>
          <w:szCs w:val="21"/>
        </w:rPr>
        <w:t>（4）政府采购合同格式条款及其附件；</w:t>
      </w:r>
    </w:p>
    <w:p>
      <w:pPr>
        <w:adjustRightInd w:val="0"/>
        <w:snapToGrid w:val="0"/>
        <w:spacing w:line="360" w:lineRule="auto"/>
        <w:ind w:firstLine="420" w:firstLineChars="200"/>
        <w:rPr>
          <w:rFonts w:ascii="宋体" w:hAnsi="宋体"/>
          <w:szCs w:val="21"/>
        </w:rPr>
      </w:pPr>
      <w:r>
        <w:rPr>
          <w:rFonts w:hint="eastAsia" w:ascii="宋体" w:hAnsi="宋体"/>
          <w:szCs w:val="21"/>
        </w:rPr>
        <w:t>（5）专用合同条款；</w:t>
      </w:r>
    </w:p>
    <w:p>
      <w:pPr>
        <w:adjustRightInd w:val="0"/>
        <w:snapToGrid w:val="0"/>
        <w:spacing w:line="360" w:lineRule="auto"/>
        <w:ind w:firstLine="420" w:firstLineChars="200"/>
        <w:rPr>
          <w:rFonts w:ascii="宋体" w:hAnsi="宋体"/>
          <w:szCs w:val="21"/>
        </w:rPr>
      </w:pPr>
      <w:r>
        <w:rPr>
          <w:rFonts w:hint="eastAsia" w:ascii="宋体" w:hAnsi="宋体"/>
          <w:szCs w:val="21"/>
        </w:rPr>
        <w:t>（6）通用合同条款（如果有）；</w:t>
      </w:r>
    </w:p>
    <w:p>
      <w:pPr>
        <w:adjustRightInd w:val="0"/>
        <w:snapToGrid w:val="0"/>
        <w:spacing w:line="360" w:lineRule="auto"/>
        <w:ind w:firstLine="420" w:firstLineChars="200"/>
        <w:rPr>
          <w:rFonts w:ascii="宋体" w:hAnsi="宋体"/>
          <w:szCs w:val="21"/>
        </w:rPr>
      </w:pPr>
      <w:r>
        <w:rPr>
          <w:rFonts w:hint="eastAsia" w:ascii="宋体" w:hAnsi="宋体"/>
          <w:szCs w:val="21"/>
        </w:rPr>
        <w:t>（7）标准、规范及有关技术文件，图纸（如果有）；</w:t>
      </w:r>
    </w:p>
    <w:p>
      <w:pPr>
        <w:adjustRightInd w:val="0"/>
        <w:snapToGrid w:val="0"/>
        <w:spacing w:line="360" w:lineRule="auto"/>
        <w:ind w:firstLine="420" w:firstLineChars="200"/>
        <w:rPr>
          <w:rFonts w:ascii="宋体" w:hAnsi="宋体"/>
          <w:szCs w:val="21"/>
        </w:rPr>
      </w:pPr>
      <w:r>
        <w:rPr>
          <w:rFonts w:hint="eastAsia" w:ascii="宋体" w:hAnsi="宋体"/>
          <w:szCs w:val="21"/>
        </w:rPr>
        <w:t>（8）其他合同文件。</w:t>
      </w:r>
    </w:p>
    <w:p>
      <w:pPr>
        <w:adjustRightInd w:val="0"/>
        <w:snapToGrid w:val="0"/>
        <w:spacing w:line="360" w:lineRule="auto"/>
        <w:ind w:firstLine="422" w:firstLineChars="200"/>
        <w:rPr>
          <w:rFonts w:ascii="宋体" w:hAnsi="宋体"/>
          <w:b/>
          <w:szCs w:val="21"/>
        </w:rPr>
      </w:pPr>
      <w:r>
        <w:rPr>
          <w:rFonts w:hint="eastAsia" w:ascii="宋体" w:hAnsi="宋体"/>
          <w:b/>
          <w:szCs w:val="21"/>
        </w:rPr>
        <w:t>7.合同生效</w:t>
      </w:r>
    </w:p>
    <w:p>
      <w:pPr>
        <w:adjustRightInd w:val="0"/>
        <w:snapToGrid w:val="0"/>
        <w:spacing w:line="360" w:lineRule="auto"/>
        <w:ind w:firstLine="420" w:firstLineChars="200"/>
        <w:rPr>
          <w:rFonts w:ascii="宋体" w:hAnsi="宋体"/>
          <w:szCs w:val="21"/>
        </w:rPr>
      </w:pPr>
      <w:r>
        <w:rPr>
          <w:rFonts w:hint="eastAsia" w:ascii="宋体" w:hAnsi="宋体"/>
          <w:szCs w:val="21"/>
        </w:rPr>
        <w:t>本合同自生效。</w:t>
      </w:r>
    </w:p>
    <w:p>
      <w:pPr>
        <w:adjustRightInd w:val="0"/>
        <w:snapToGrid w:val="0"/>
        <w:spacing w:line="360" w:lineRule="auto"/>
        <w:ind w:firstLine="422" w:firstLineChars="200"/>
        <w:rPr>
          <w:rFonts w:ascii="宋体" w:hAnsi="宋体"/>
          <w:b/>
          <w:szCs w:val="21"/>
        </w:rPr>
      </w:pPr>
      <w:r>
        <w:rPr>
          <w:rFonts w:hint="eastAsia" w:ascii="宋体" w:hAnsi="宋体"/>
          <w:b/>
          <w:szCs w:val="21"/>
        </w:rPr>
        <w:t>8.合同份数</w:t>
      </w:r>
    </w:p>
    <w:p>
      <w:pPr>
        <w:adjustRightInd w:val="0"/>
        <w:snapToGrid w:val="0"/>
        <w:spacing w:line="360" w:lineRule="auto"/>
        <w:ind w:firstLine="420" w:firstLineChars="200"/>
        <w:rPr>
          <w:rFonts w:ascii="宋体" w:hAnsi="宋体"/>
          <w:szCs w:val="21"/>
        </w:rPr>
      </w:pPr>
      <w:r>
        <w:rPr>
          <w:rFonts w:hint="eastAsia" w:ascii="宋体" w:hAnsi="宋体"/>
          <w:szCs w:val="21"/>
        </w:rPr>
        <w:t>本合同一式四份，采购人执一份，供应商执一份，监督管理部门执一份，代理机构执一份，均具有同等法律效力。</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合同订立时间：年月日</w:t>
      </w:r>
    </w:p>
    <w:p>
      <w:pPr>
        <w:adjustRightInd w:val="0"/>
        <w:snapToGrid w:val="0"/>
        <w:spacing w:line="360" w:lineRule="auto"/>
        <w:ind w:firstLine="420" w:firstLineChars="200"/>
        <w:rPr>
          <w:rFonts w:ascii="宋体" w:hAnsi="宋体"/>
          <w:szCs w:val="21"/>
        </w:rPr>
      </w:pPr>
      <w:r>
        <w:rPr>
          <w:rFonts w:hint="eastAsia" w:ascii="宋体" w:hAnsi="宋体"/>
          <w:szCs w:val="21"/>
        </w:rPr>
        <w:t>合同订立地点：</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甲      方：（公章）                     乙      方：（公章）</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法定代表人：         </w:t>
      </w:r>
      <w:r>
        <w:rPr>
          <w:rFonts w:ascii="宋体" w:hAnsi="宋体"/>
          <w:szCs w:val="21"/>
        </w:rPr>
        <w:t xml:space="preserve">                    </w:t>
      </w:r>
      <w:r>
        <w:rPr>
          <w:rFonts w:hint="eastAsia" w:ascii="宋体" w:hAnsi="宋体"/>
          <w:szCs w:val="21"/>
        </w:rPr>
        <w:t>法定代表人：</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委托代理人：         </w:t>
      </w:r>
      <w:r>
        <w:rPr>
          <w:rFonts w:ascii="宋体" w:hAnsi="宋体"/>
          <w:szCs w:val="21"/>
        </w:rPr>
        <w:t xml:space="preserve">                    </w:t>
      </w:r>
      <w:r>
        <w:rPr>
          <w:rFonts w:hint="eastAsia" w:ascii="宋体" w:hAnsi="宋体"/>
          <w:szCs w:val="21"/>
        </w:rPr>
        <w:t>委托代理人：</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电      话：        </w:t>
      </w:r>
      <w:r>
        <w:rPr>
          <w:rFonts w:ascii="宋体" w:hAnsi="宋体"/>
          <w:szCs w:val="21"/>
        </w:rPr>
        <w:t xml:space="preserve">                    </w:t>
      </w:r>
      <w:r>
        <w:rPr>
          <w:rFonts w:hint="eastAsia" w:ascii="宋体" w:hAnsi="宋体"/>
          <w:szCs w:val="21"/>
        </w:rPr>
        <w:t xml:space="preserve"> 电      话：</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传      真：         </w:t>
      </w:r>
      <w:r>
        <w:rPr>
          <w:rFonts w:ascii="宋体" w:hAnsi="宋体"/>
          <w:szCs w:val="21"/>
        </w:rPr>
        <w:t xml:space="preserve">                    </w:t>
      </w:r>
      <w:r>
        <w:rPr>
          <w:rFonts w:hint="eastAsia" w:ascii="宋体" w:hAnsi="宋体"/>
          <w:szCs w:val="21"/>
        </w:rPr>
        <w:t>传      真：</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开 户 银 行：</w:t>
      </w:r>
    </w:p>
    <w:p>
      <w:pPr>
        <w:adjustRightInd w:val="0"/>
        <w:snapToGrid w:val="0"/>
        <w:spacing w:line="360" w:lineRule="auto"/>
        <w:ind w:firstLine="420" w:firstLineChars="200"/>
        <w:jc w:val="center"/>
        <w:rPr>
          <w:rFonts w:ascii="宋体" w:hAnsi="宋体"/>
          <w:b/>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帐       号：</w:t>
      </w:r>
    </w:p>
    <w:p>
      <w:pPr>
        <w:pStyle w:val="8"/>
        <w:adjustRightInd w:val="0"/>
        <w:snapToGrid w:val="0"/>
        <w:spacing w:beforeLines="50"/>
        <w:jc w:val="center"/>
        <w:rPr>
          <w:rFonts w:ascii="黑体" w:hAnsi="黑体" w:eastAsia="黑体"/>
          <w:sz w:val="28"/>
          <w:szCs w:val="28"/>
        </w:rPr>
      </w:pPr>
    </w:p>
    <w:p>
      <w:pPr>
        <w:pStyle w:val="8"/>
        <w:adjustRightInd w:val="0"/>
        <w:snapToGrid w:val="0"/>
        <w:jc w:val="center"/>
        <w:rPr>
          <w:rFonts w:hint="eastAsia" w:ascii="黑体" w:hAnsi="华文中宋" w:eastAsia="黑体"/>
          <w:sz w:val="28"/>
          <w:szCs w:val="28"/>
        </w:rPr>
        <w:sectPr>
          <w:pgSz w:w="11906" w:h="16838"/>
          <w:pgMar w:top="1474" w:right="1474" w:bottom="1474" w:left="1588" w:header="1020" w:footer="992" w:gutter="0"/>
          <w:pgNumType w:fmt="numberInDash"/>
          <w:cols w:space="720" w:num="1"/>
          <w:docGrid w:type="lines" w:linePitch="312" w:charSpace="0"/>
        </w:sectPr>
      </w:pPr>
      <w:bookmarkStart w:id="269" w:name="_Toc28633"/>
      <w:bookmarkStart w:id="270" w:name="_Toc35446196"/>
      <w:bookmarkStart w:id="271" w:name="_Toc10416"/>
    </w:p>
    <w:bookmarkEnd w:id="269"/>
    <w:bookmarkEnd w:id="270"/>
    <w:bookmarkEnd w:id="271"/>
    <w:p>
      <w:pPr>
        <w:pStyle w:val="8"/>
        <w:adjustRightInd w:val="0"/>
        <w:snapToGrid w:val="0"/>
        <w:spacing w:before="156" w:beforeLines="50"/>
        <w:jc w:val="center"/>
        <w:rPr>
          <w:rFonts w:ascii="宋体" w:hAnsi="宋体" w:cs="宋体"/>
          <w:sz w:val="28"/>
          <w:szCs w:val="28"/>
        </w:rPr>
      </w:pPr>
      <w:bookmarkStart w:id="272" w:name="_Toc4296"/>
      <w:bookmarkStart w:id="273" w:name="_Toc29942"/>
      <w:r>
        <w:rPr>
          <w:rFonts w:hint="eastAsia" w:ascii="宋体" w:hAnsi="宋体" w:cs="宋体"/>
          <w:sz w:val="28"/>
          <w:szCs w:val="28"/>
        </w:rPr>
        <w:t>第二节 政府采购合同通用条款</w:t>
      </w:r>
      <w:bookmarkEnd w:id="272"/>
      <w:bookmarkEnd w:id="273"/>
    </w:p>
    <w:p>
      <w:pPr>
        <w:tabs>
          <w:tab w:val="left" w:pos="8820"/>
          <w:tab w:val="left" w:pos="9345"/>
          <w:tab w:val="left" w:pos="9765"/>
        </w:tabs>
        <w:adjustRightInd w:val="0"/>
        <w:snapToGrid w:val="0"/>
        <w:spacing w:before="50" w:line="360" w:lineRule="auto"/>
        <w:jc w:val="left"/>
        <w:rPr>
          <w:rFonts w:ascii="宋体" w:hAnsi="宋体" w:cs="宋体"/>
          <w:b/>
          <w:bCs/>
          <w:sz w:val="24"/>
        </w:rPr>
      </w:pPr>
      <w:r>
        <w:rPr>
          <w:rFonts w:hint="eastAsia" w:ascii="宋体" w:hAnsi="宋体" w:cs="宋体"/>
          <w:b/>
          <w:sz w:val="24"/>
        </w:rPr>
        <w:t>1.</w:t>
      </w:r>
      <w:r>
        <w:rPr>
          <w:rFonts w:hint="eastAsia" w:ascii="宋体" w:hAnsi="宋体" w:cs="宋体"/>
          <w:b/>
          <w:bCs/>
          <w:sz w:val="24"/>
        </w:rPr>
        <w:t>定义</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1.1合同当事人</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（1）采购人（以下称甲方）是指使用财政性资金，通过政府采购程序向供应商购买货物、服务的国家机关、事业单位、团体组织。本次采购的甲方名称、地址见</w:t>
      </w:r>
      <w:r>
        <w:rPr>
          <w:rFonts w:hint="eastAsia" w:ascii="宋体" w:hAnsi="宋体" w:cs="宋体"/>
          <w:b/>
          <w:szCs w:val="21"/>
        </w:rPr>
        <w:t>【政府采购合同专用条款】。</w:t>
      </w:r>
    </w:p>
    <w:p>
      <w:pPr>
        <w:autoSpaceDE w:val="0"/>
        <w:autoSpaceDN w:val="0"/>
        <w:adjustRightInd w:val="0"/>
        <w:snapToGrid w:val="0"/>
        <w:spacing w:before="50" w:line="360" w:lineRule="auto"/>
        <w:ind w:firstLine="420" w:firstLineChars="200"/>
        <w:jc w:val="left"/>
        <w:rPr>
          <w:rFonts w:ascii="宋体" w:hAnsi="宋体" w:cs="宋体"/>
          <w:b/>
          <w:szCs w:val="21"/>
        </w:rPr>
      </w:pPr>
      <w:r>
        <w:rPr>
          <w:rFonts w:hint="eastAsia" w:ascii="宋体" w:hAnsi="宋体" w:cs="宋体"/>
          <w:szCs w:val="21"/>
        </w:rPr>
        <w:t>（2）供应商（以下称乙方）是指参加政府采购活动而取得中标结果，并向采购人提供货物、服务的法人、其他组织或者自然人。</w:t>
      </w:r>
    </w:p>
    <w:p>
      <w:pPr>
        <w:tabs>
          <w:tab w:val="left" w:pos="570"/>
          <w:tab w:val="left" w:pos="924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1.2本合同下列术语应解释为：</w:t>
      </w:r>
    </w:p>
    <w:p>
      <w:pPr>
        <w:tabs>
          <w:tab w:val="left" w:pos="570"/>
          <w:tab w:val="left" w:pos="924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（4）“伴随服务”系指根据本合同规定乙方承担与供货有关的辅助服务，如运输、保</w:t>
      </w:r>
      <w:r>
        <w:rPr>
          <w:rFonts w:hint="eastAsia" w:ascii="宋体" w:hAnsi="宋体" w:cs="宋体"/>
          <w:spacing w:val="2"/>
          <w:szCs w:val="21"/>
        </w:rPr>
        <w:t>险以及其它的伴随服务，例如安装、调试、提供技术</w:t>
      </w:r>
      <w:r>
        <w:rPr>
          <w:rFonts w:hint="eastAsia" w:ascii="宋体" w:hAnsi="宋体" w:cs="宋体"/>
          <w:szCs w:val="21"/>
        </w:rPr>
        <w:t>协</w:t>
      </w:r>
      <w:r>
        <w:rPr>
          <w:rFonts w:hint="eastAsia" w:ascii="宋体" w:hAnsi="宋体" w:cs="宋体"/>
          <w:spacing w:val="2"/>
          <w:szCs w:val="21"/>
        </w:rPr>
        <w:t>助、培训和合同中规定</w:t>
      </w:r>
      <w:r>
        <w:rPr>
          <w:rFonts w:hint="eastAsia" w:ascii="宋体" w:hAnsi="宋体" w:cs="宋体"/>
          <w:szCs w:val="21"/>
        </w:rPr>
        <w:t>乙方应承担的其它义务。</w:t>
      </w:r>
    </w:p>
    <w:p>
      <w:pPr>
        <w:tabs>
          <w:tab w:val="left" w:pos="570"/>
          <w:tab w:val="left" w:pos="924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（5）“合同条款”系指本合同条款。</w:t>
      </w:r>
    </w:p>
    <w:p>
      <w:pPr>
        <w:tabs>
          <w:tab w:val="left" w:pos="570"/>
          <w:tab w:val="left" w:pos="9240"/>
          <w:tab w:val="left" w:pos="9555"/>
        </w:tabs>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（6）“项目现场”系指本合同项下货物安装、运行的现场，其名称见</w:t>
      </w:r>
      <w:r>
        <w:rPr>
          <w:rFonts w:hint="eastAsia" w:ascii="宋体" w:hAnsi="宋体" w:cs="宋体"/>
          <w:b/>
          <w:szCs w:val="21"/>
        </w:rPr>
        <w:t>【政府采购合同专用条款】</w:t>
      </w:r>
      <w:r>
        <w:rPr>
          <w:rFonts w:hint="eastAsia" w:ascii="宋体" w:hAnsi="宋体" w:cs="宋体"/>
          <w:szCs w:val="21"/>
        </w:rPr>
        <w:t>。</w:t>
      </w:r>
    </w:p>
    <w:p>
      <w:pPr>
        <w:autoSpaceDE w:val="0"/>
        <w:autoSpaceDN w:val="0"/>
        <w:adjustRightInd w:val="0"/>
        <w:snapToGrid w:val="0"/>
        <w:spacing w:before="50" w:line="360" w:lineRule="auto"/>
        <w:jc w:val="left"/>
        <w:rPr>
          <w:rFonts w:ascii="宋体" w:hAnsi="宋体" w:cs="宋体"/>
          <w:b/>
          <w:sz w:val="24"/>
        </w:rPr>
      </w:pPr>
      <w:r>
        <w:rPr>
          <w:rFonts w:hint="eastAsia" w:ascii="宋体" w:hAnsi="宋体" w:cs="宋体"/>
          <w:b/>
          <w:sz w:val="24"/>
        </w:rPr>
        <w:t>2.合同的适用范围</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2.1 本合同条款适用于没有被本合同其他部分的条款所取代的范围。</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2.2 合同内容根据</w:t>
      </w:r>
      <w:r>
        <w:rPr>
          <w:rFonts w:hint="eastAsia" w:ascii="宋体" w:hAnsi="宋体" w:cs="宋体"/>
          <w:szCs w:val="21"/>
          <w:lang w:eastAsia="zh-CN"/>
        </w:rPr>
        <w:t>采购文件</w:t>
      </w:r>
      <w:r>
        <w:rPr>
          <w:rFonts w:hint="eastAsia" w:ascii="宋体" w:hAnsi="宋体" w:cs="宋体"/>
          <w:szCs w:val="21"/>
        </w:rPr>
        <w:t>、投标文件而确定。</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3.</w:t>
      </w:r>
      <w:r>
        <w:rPr>
          <w:rFonts w:hint="eastAsia" w:ascii="宋体" w:hAnsi="宋体" w:cs="宋体"/>
          <w:b/>
          <w:sz w:val="24"/>
        </w:rPr>
        <w:t>合同标的及金额</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3.1 合同标的及金额应与中标结果一致。</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4.</w:t>
      </w:r>
      <w:r>
        <w:rPr>
          <w:rFonts w:hint="eastAsia" w:ascii="宋体" w:hAnsi="宋体" w:cs="宋体"/>
          <w:b/>
          <w:sz w:val="24"/>
        </w:rPr>
        <w:t>合同价款</w:t>
      </w:r>
    </w:p>
    <w:p>
      <w:pPr>
        <w:adjustRightInd w:val="0"/>
        <w:snapToGrid w:val="0"/>
        <w:spacing w:before="50" w:line="360" w:lineRule="auto"/>
        <w:ind w:firstLine="420" w:firstLineChars="200"/>
        <w:jc w:val="left"/>
        <w:rPr>
          <w:rFonts w:ascii="宋体" w:hAnsi="宋体" w:cs="宋体"/>
          <w:b/>
          <w:bCs/>
          <w:i/>
          <w:iCs/>
          <w:szCs w:val="21"/>
        </w:rPr>
      </w:pPr>
      <w:r>
        <w:rPr>
          <w:rFonts w:hint="eastAsia" w:ascii="宋体" w:hAnsi="宋体" w:cs="宋体"/>
          <w:szCs w:val="21"/>
        </w:rPr>
        <w:t>4.1具体合同价款见本合同第3.1条。乙方为履行本合同而发生的所有费用均应包含在合同价款中，甲方不再另行支付其它任何费用。</w:t>
      </w:r>
    </w:p>
    <w:p>
      <w:pPr>
        <w:adjustRightInd w:val="0"/>
        <w:snapToGrid w:val="0"/>
        <w:spacing w:before="50" w:line="360" w:lineRule="auto"/>
        <w:jc w:val="left"/>
        <w:rPr>
          <w:rFonts w:ascii="宋体" w:hAnsi="宋体" w:cs="宋体"/>
          <w:b/>
          <w:sz w:val="24"/>
        </w:rPr>
      </w:pPr>
      <w:r>
        <w:rPr>
          <w:rFonts w:hint="eastAsia" w:ascii="宋体" w:hAnsi="宋体" w:cs="宋体"/>
          <w:b/>
          <w:sz w:val="24"/>
        </w:rPr>
        <w:t>5.履行合同的时间、地点和方式</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5.1 乙方应当在甲方确定的时间、指定的地点履行合同，具体的交货时间、地点和方式见</w:t>
      </w:r>
      <w:r>
        <w:rPr>
          <w:rFonts w:hint="eastAsia" w:ascii="宋体" w:hAnsi="宋体" w:cs="宋体"/>
          <w:b/>
          <w:szCs w:val="21"/>
        </w:rPr>
        <w:t>【政府采购合同专用条款】</w:t>
      </w:r>
      <w:r>
        <w:rPr>
          <w:rFonts w:hint="eastAsia" w:ascii="宋体" w:hAnsi="宋体" w:cs="宋体"/>
          <w:szCs w:val="21"/>
        </w:rPr>
        <w:t>。</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5.2 乙方提供服务的应当在甲方指定的地点完成服务项目。</w:t>
      </w:r>
    </w:p>
    <w:p>
      <w:pPr>
        <w:adjustRightInd w:val="0"/>
        <w:snapToGrid w:val="0"/>
        <w:spacing w:before="50" w:line="360" w:lineRule="auto"/>
        <w:jc w:val="left"/>
        <w:rPr>
          <w:rFonts w:ascii="宋体" w:hAnsi="宋体" w:cs="宋体"/>
          <w:b/>
          <w:bCs/>
          <w:sz w:val="24"/>
        </w:rPr>
      </w:pPr>
      <w:r>
        <w:rPr>
          <w:rFonts w:hint="eastAsia" w:ascii="宋体" w:hAnsi="宋体" w:cs="宋体"/>
          <w:b/>
          <w:bCs/>
          <w:sz w:val="24"/>
        </w:rPr>
        <w:t>6.</w:t>
      </w:r>
      <w:r>
        <w:rPr>
          <w:rFonts w:hint="eastAsia" w:ascii="宋体" w:hAnsi="宋体" w:cs="宋体"/>
          <w:b/>
          <w:sz w:val="24"/>
        </w:rPr>
        <w:t>货物的验收</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6.1 甲方在收到乙方交付的货物后应当及时组织验收。</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6.2 货物的表面瑕疵，甲方应在验收时当面提出；对质量问题有异议的应在安装调试后十个工作日内提出。</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6.5 甲方对货物进行检查验收合格后，应当收取发票并在《交货验收单》上签署验收意见及加盖单位印章。</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6.6 大型或者复杂的货物采购项目，甲方可以邀请国家认可的质量检测机构参加验收工作，并由其出具验收报告单。</w:t>
      </w:r>
    </w:p>
    <w:p>
      <w:pPr>
        <w:autoSpaceDE w:val="0"/>
        <w:autoSpaceDN w:val="0"/>
        <w:adjustRightInd w:val="0"/>
        <w:snapToGrid w:val="0"/>
        <w:spacing w:before="50" w:line="360" w:lineRule="auto"/>
        <w:ind w:firstLine="420" w:firstLineChars="200"/>
        <w:jc w:val="left"/>
        <w:rPr>
          <w:rFonts w:ascii="宋体" w:hAnsi="宋体" w:cs="宋体"/>
          <w:color w:val="FF0000"/>
          <w:szCs w:val="21"/>
        </w:rPr>
      </w:pPr>
      <w:r>
        <w:rPr>
          <w:rFonts w:hint="eastAsia" w:ascii="宋体" w:hAnsi="宋体" w:cs="宋体"/>
          <w:szCs w:val="21"/>
        </w:rPr>
        <w:t>6.7 乙方提供的进口产品，乙方应出示中华人民共和国进出口商品检验部门出具的检验证书（</w:t>
      </w:r>
      <w:r>
        <w:rPr>
          <w:rFonts w:hint="eastAsia" w:ascii="宋体" w:hAnsi="宋体" w:cs="宋体"/>
          <w:szCs w:val="21"/>
          <w:lang w:eastAsia="zh-CN"/>
        </w:rPr>
        <w:t>采购文件</w:t>
      </w:r>
      <w:r>
        <w:rPr>
          <w:rFonts w:hint="eastAsia" w:ascii="宋体" w:hAnsi="宋体" w:cs="宋体"/>
          <w:szCs w:val="21"/>
        </w:rPr>
        <w:t>第五章采购需求另有约定的除外）。</w:t>
      </w:r>
    </w:p>
    <w:p>
      <w:pPr>
        <w:adjustRightInd w:val="0"/>
        <w:snapToGrid w:val="0"/>
        <w:spacing w:before="50" w:line="360" w:lineRule="auto"/>
        <w:jc w:val="left"/>
        <w:rPr>
          <w:rFonts w:ascii="宋体" w:hAnsi="宋体" w:cs="宋体"/>
          <w:b/>
          <w:bCs/>
          <w:sz w:val="24"/>
        </w:rPr>
      </w:pPr>
      <w:r>
        <w:rPr>
          <w:rFonts w:hint="eastAsia" w:ascii="宋体" w:hAnsi="宋体" w:cs="宋体"/>
          <w:b/>
          <w:bCs/>
          <w:sz w:val="24"/>
        </w:rPr>
        <w:t>7.货物包装要求</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7.2 每一个包装箱内应附一份详细装箱单、质量证书和保修保养证书。</w:t>
      </w:r>
    </w:p>
    <w:p>
      <w:pPr>
        <w:adjustRightInd w:val="0"/>
        <w:snapToGrid w:val="0"/>
        <w:spacing w:before="50" w:line="360" w:lineRule="auto"/>
        <w:jc w:val="left"/>
        <w:rPr>
          <w:rFonts w:ascii="宋体" w:hAnsi="宋体" w:cs="宋体"/>
          <w:b/>
          <w:sz w:val="24"/>
        </w:rPr>
      </w:pPr>
      <w:r>
        <w:rPr>
          <w:rFonts w:hint="eastAsia" w:ascii="宋体" w:hAnsi="宋体" w:cs="宋体"/>
          <w:b/>
          <w:sz w:val="24"/>
        </w:rPr>
        <w:t>8.运输和保险</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8.1乙方负责办理将货物运抵本合同第5.1条规定的交货地点的一切运输事项，相关费用应包括在合同总价中。</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8.2乙方应向保险公司投保以甲方为受益人的发运合同货物发票金额的110％运输一切险。</w:t>
      </w:r>
    </w:p>
    <w:p>
      <w:pPr>
        <w:adjustRightInd w:val="0"/>
        <w:snapToGrid w:val="0"/>
        <w:spacing w:before="50" w:line="360" w:lineRule="auto"/>
        <w:jc w:val="left"/>
        <w:rPr>
          <w:rFonts w:ascii="宋体" w:hAnsi="宋体" w:cs="宋体"/>
          <w:b/>
          <w:sz w:val="24"/>
        </w:rPr>
      </w:pPr>
      <w:r>
        <w:rPr>
          <w:rFonts w:hint="eastAsia" w:ascii="宋体" w:hAnsi="宋体" w:cs="宋体"/>
          <w:b/>
          <w:sz w:val="24"/>
        </w:rPr>
        <w:t>9.质量标准和保证</w:t>
      </w:r>
    </w:p>
    <w:p>
      <w:pPr>
        <w:pStyle w:val="26"/>
        <w:adjustRightInd w:val="0"/>
        <w:snapToGrid w:val="0"/>
        <w:spacing w:before="50" w:line="360" w:lineRule="auto"/>
        <w:ind w:firstLine="420" w:firstLineChars="200"/>
        <w:jc w:val="left"/>
        <w:rPr>
          <w:rFonts w:hAnsi="宋体" w:cs="宋体"/>
          <w:b/>
        </w:rPr>
      </w:pPr>
      <w:r>
        <w:rPr>
          <w:rFonts w:hint="eastAsia" w:hAnsi="宋体" w:cs="宋体"/>
        </w:rPr>
        <w:t>9.1 质量标准</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（1）本合同下交付的货物应符合</w:t>
      </w:r>
      <w:r>
        <w:rPr>
          <w:rFonts w:hint="eastAsia" w:ascii="宋体" w:hAnsi="宋体" w:cs="宋体"/>
          <w:szCs w:val="21"/>
          <w:lang w:eastAsia="zh-CN"/>
        </w:rPr>
        <w:t>采购文件</w:t>
      </w:r>
      <w:r>
        <w:rPr>
          <w:rFonts w:hint="eastAsia" w:ascii="宋体" w:hAnsi="宋体" w:cs="宋体"/>
          <w:szCs w:val="21"/>
        </w:rPr>
        <w:t>第四章“技术规格、参数与要求”所述的标准。如果没有提及适用标准，则应符合中华人民共和国有关机构发布的最新版本的标准。</w:t>
      </w:r>
    </w:p>
    <w:p>
      <w:pPr>
        <w:pStyle w:val="26"/>
        <w:adjustRightInd w:val="0"/>
        <w:snapToGrid w:val="0"/>
        <w:spacing w:before="50" w:line="360" w:lineRule="auto"/>
        <w:ind w:firstLine="420" w:firstLineChars="200"/>
        <w:jc w:val="left"/>
        <w:rPr>
          <w:rFonts w:hAnsi="宋体" w:cs="宋体"/>
        </w:rPr>
      </w:pPr>
      <w:r>
        <w:rPr>
          <w:rFonts w:hint="eastAsia" w:hAnsi="宋体" w:cs="宋体"/>
        </w:rPr>
        <w:t>（2）采用中华人民共和国法定计量单位。</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（3）乙方所出售的货物还应符合国家有关安全、环保、卫生之规定。</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9.2 保证</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cs="宋体"/>
          <w:b/>
          <w:szCs w:val="21"/>
        </w:rPr>
        <w:t>【政府采购合同专用条款】</w:t>
      </w:r>
      <w:r>
        <w:rPr>
          <w:rFonts w:hint="eastAsia" w:ascii="宋体" w:hAnsi="宋体" w:cs="宋体"/>
          <w:szCs w:val="21"/>
        </w:rPr>
        <w:t>规定或乙方承诺（两者以较长的为准）的质量保证期内，本保证保持有效。</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（2）在质量保证期内所发现的缺陷，甲方应尽快以书面形式通知乙方。</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（3）乙方收到通知后应在</w:t>
      </w:r>
      <w:r>
        <w:rPr>
          <w:rFonts w:hint="eastAsia" w:ascii="宋体" w:hAnsi="宋体" w:cs="宋体"/>
          <w:b/>
          <w:szCs w:val="21"/>
        </w:rPr>
        <w:t>【政府采购合同专用条款】</w:t>
      </w:r>
      <w:r>
        <w:rPr>
          <w:rFonts w:hint="eastAsia" w:ascii="宋体" w:hAnsi="宋体" w:cs="宋体"/>
          <w:szCs w:val="21"/>
        </w:rPr>
        <w:t>规定的响应时间内以合理的速度免费维修或更换有缺陷的货物或部件。</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pPr>
        <w:adjustRightInd w:val="0"/>
        <w:snapToGrid w:val="0"/>
        <w:spacing w:before="50" w:line="360" w:lineRule="auto"/>
        <w:ind w:firstLine="420" w:firstLineChars="200"/>
        <w:jc w:val="left"/>
        <w:rPr>
          <w:rFonts w:ascii="宋体" w:hAnsi="宋体" w:cs="宋体"/>
          <w:b/>
          <w:szCs w:val="21"/>
        </w:rPr>
      </w:pPr>
      <w:r>
        <w:rPr>
          <w:rFonts w:hint="eastAsia" w:ascii="宋体" w:hAnsi="宋体" w:cs="宋体"/>
          <w:szCs w:val="21"/>
        </w:rPr>
        <w:t>（5）乙方在约定的时间内未能弥补缺陷，甲方可采取必要的补救措施，但其风险和费用将由乙方承担，甲方根据合同规定对乙方行使的其他权利不受影响。</w:t>
      </w:r>
    </w:p>
    <w:p>
      <w:pPr>
        <w:adjustRightInd w:val="0"/>
        <w:snapToGrid w:val="0"/>
        <w:spacing w:before="50" w:line="360" w:lineRule="auto"/>
        <w:jc w:val="left"/>
        <w:rPr>
          <w:rFonts w:ascii="宋体" w:hAnsi="宋体" w:cs="宋体"/>
          <w:b/>
          <w:bCs/>
          <w:sz w:val="24"/>
        </w:rPr>
      </w:pPr>
      <w:r>
        <w:rPr>
          <w:rFonts w:hint="eastAsia" w:ascii="宋体" w:hAnsi="宋体" w:cs="宋体"/>
          <w:b/>
          <w:bCs/>
          <w:sz w:val="24"/>
        </w:rPr>
        <w:t>10.权利瑕疵担保</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10.1 乙方保证对其出售的货物享有合法的权利。</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10.2 乙方保证在其出售的货物上不存在任何未曾向甲方透露的担保物权，如抵押权、质押权、留置权等。</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10.3 如甲方使用该货物构成上述侵权的，则由乙方承担全部责任。</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11.知识产权保护</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11.3 甲方委托乙方开发的产品，甲方享有知识产权，未经甲方许可不得转让任何第三人。</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12.保密义务</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12.1 甲、乙双方在采购和履行合同过程中所获悉的对方属于保密的内容，双方均有保密义务。</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13.合同价款支付</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13.1验收合格后，乙方出具正规发票给甲方，凭甲方开具的《政府采购合同验收报告单》办理合同价</w:t>
      </w:r>
      <w:r>
        <w:rPr>
          <w:rFonts w:hint="eastAsia" w:ascii="宋体" w:hAnsi="宋体" w:cs="宋体"/>
          <w:bCs/>
          <w:szCs w:val="21"/>
        </w:rPr>
        <w:t>款</w:t>
      </w:r>
      <w:r>
        <w:rPr>
          <w:rFonts w:hint="eastAsia" w:ascii="宋体" w:hAnsi="宋体" w:cs="宋体"/>
          <w:szCs w:val="21"/>
        </w:rPr>
        <w:t>结算手续。</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13.3 合同价款构成中应当由甲方自行支付的部分，甲方应当在货物验收合格后十五个工作内支付。</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13.4支付合同价</w:t>
      </w:r>
      <w:r>
        <w:rPr>
          <w:rFonts w:hint="eastAsia" w:ascii="宋体" w:hAnsi="宋体" w:cs="宋体"/>
          <w:bCs/>
          <w:szCs w:val="21"/>
        </w:rPr>
        <w:t>款</w:t>
      </w:r>
      <w:r>
        <w:rPr>
          <w:rFonts w:hint="eastAsia" w:ascii="宋体" w:hAnsi="宋体" w:cs="宋体"/>
          <w:szCs w:val="21"/>
        </w:rPr>
        <w:t>时，一律不向乙方以外的任何第三方办理付款手续。开户行和账号以签订的政府采购合同为准，如果乙方要求变更，则乙方必须提供加盖了财务专用章、法定代表人签字的证明文件，报经甲方审查同意。</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13.5 合同价款支付方式</w:t>
      </w:r>
      <w:r>
        <w:rPr>
          <w:rFonts w:hint="eastAsia" w:ascii="宋体" w:hAnsi="宋体" w:cs="宋体"/>
          <w:bCs/>
          <w:szCs w:val="21"/>
        </w:rPr>
        <w:t>和条件在</w:t>
      </w:r>
      <w:r>
        <w:rPr>
          <w:rFonts w:hint="eastAsia" w:ascii="宋体" w:hAnsi="宋体" w:cs="宋体"/>
          <w:b/>
          <w:szCs w:val="21"/>
        </w:rPr>
        <w:t>【政府采购合同专用条款】</w:t>
      </w:r>
      <w:r>
        <w:rPr>
          <w:rFonts w:hint="eastAsia" w:ascii="宋体" w:hAnsi="宋体" w:cs="宋体"/>
          <w:szCs w:val="21"/>
        </w:rPr>
        <w:t>中另有规定。</w:t>
      </w:r>
    </w:p>
    <w:p>
      <w:pPr>
        <w:autoSpaceDE w:val="0"/>
        <w:autoSpaceDN w:val="0"/>
        <w:adjustRightInd w:val="0"/>
        <w:snapToGrid w:val="0"/>
        <w:spacing w:before="50" w:line="360" w:lineRule="auto"/>
        <w:jc w:val="left"/>
        <w:rPr>
          <w:rFonts w:ascii="宋体" w:hAnsi="宋体" w:cs="宋体"/>
          <w:b/>
          <w:sz w:val="24"/>
        </w:rPr>
      </w:pPr>
      <w:r>
        <w:rPr>
          <w:rFonts w:hint="eastAsia" w:ascii="宋体" w:hAnsi="宋体" w:cs="宋体"/>
          <w:b/>
          <w:bCs/>
          <w:sz w:val="24"/>
        </w:rPr>
        <w:t>14.</w:t>
      </w:r>
      <w:r>
        <w:rPr>
          <w:rFonts w:hint="eastAsia" w:ascii="宋体" w:hAnsi="宋体" w:cs="宋体"/>
          <w:b/>
          <w:sz w:val="24"/>
        </w:rPr>
        <w:t>伴随服务</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14.2 乙方还应提供下列服务：</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（1）货物的现场移动、安装、调试、启动监督及技术支持；</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（2）提供货物组装和维修所需的专用工具和辅助材料；</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（4）在制造商或项目现场就货物的安装、启动、运营、维护对甲方操作人员进行培训；</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（5）</w:t>
      </w:r>
      <w:r>
        <w:rPr>
          <w:rFonts w:hint="eastAsia" w:ascii="宋体" w:hAnsi="宋体" w:cs="宋体"/>
          <w:b/>
          <w:szCs w:val="21"/>
        </w:rPr>
        <w:t>【政府采购合同专用条款】</w:t>
      </w:r>
      <w:r>
        <w:rPr>
          <w:rFonts w:hint="eastAsia" w:ascii="宋体" w:hAnsi="宋体" w:cs="宋体"/>
          <w:szCs w:val="21"/>
        </w:rPr>
        <w:t>与</w:t>
      </w:r>
      <w:r>
        <w:rPr>
          <w:rFonts w:hint="eastAsia" w:ascii="宋体" w:hAnsi="宋体" w:cs="宋体"/>
          <w:szCs w:val="21"/>
          <w:lang w:eastAsia="zh-CN"/>
        </w:rPr>
        <w:t>采购文件</w:t>
      </w:r>
      <w:r>
        <w:rPr>
          <w:rFonts w:hint="eastAsia" w:ascii="宋体" w:hAnsi="宋体" w:cs="宋体"/>
          <w:szCs w:val="21"/>
        </w:rPr>
        <w:t>第五章采购需求规定的其他伴随服务。</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14.3 乙方提供的伴随服务的费用应包含在合同价款中，甲方不再另行支付。</w:t>
      </w:r>
    </w:p>
    <w:p>
      <w:pPr>
        <w:adjustRightInd w:val="0"/>
        <w:snapToGrid w:val="0"/>
        <w:spacing w:before="50" w:line="360" w:lineRule="auto"/>
        <w:jc w:val="left"/>
        <w:rPr>
          <w:rFonts w:ascii="宋体" w:hAnsi="宋体" w:cs="宋体"/>
          <w:b/>
          <w:bCs/>
          <w:sz w:val="24"/>
        </w:rPr>
      </w:pPr>
      <w:r>
        <w:rPr>
          <w:rFonts w:hint="eastAsia" w:ascii="宋体" w:hAnsi="宋体" w:cs="宋体"/>
          <w:b/>
          <w:bCs/>
          <w:sz w:val="24"/>
        </w:rPr>
        <w:t>15.违约责任</w:t>
      </w:r>
    </w:p>
    <w:p>
      <w:pPr>
        <w:adjustRightInd w:val="0"/>
        <w:snapToGrid w:val="0"/>
        <w:spacing w:before="50" w:line="360" w:lineRule="auto"/>
        <w:ind w:firstLine="420" w:firstLineChars="200"/>
        <w:jc w:val="left"/>
        <w:rPr>
          <w:rFonts w:ascii="宋体" w:hAnsi="宋体" w:cs="宋体"/>
          <w:bCs/>
          <w:szCs w:val="21"/>
        </w:rPr>
      </w:pPr>
      <w:r>
        <w:rPr>
          <w:rFonts w:hint="eastAsia" w:ascii="宋体" w:hAnsi="宋体" w:cs="宋体"/>
          <w:bCs/>
          <w:szCs w:val="21"/>
        </w:rPr>
        <w:t>15.1质量瑕疵的补救措施和索赔</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①乙方同意退货并将货款退还给甲方，由此发生的一切费用和损失由乙方承担。</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②根据货物的质量状况以及甲方所遭受的损失，经过甲乙双方商定降低货物的价格。</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before="50" w:line="360" w:lineRule="auto"/>
        <w:ind w:firstLine="420" w:firstLineChars="200"/>
        <w:jc w:val="left"/>
        <w:rPr>
          <w:rFonts w:ascii="宋体" w:hAnsi="宋体" w:cs="宋体"/>
          <w:bCs/>
          <w:szCs w:val="21"/>
        </w:rPr>
      </w:pPr>
      <w:r>
        <w:rPr>
          <w:rFonts w:hint="eastAsia" w:ascii="宋体" w:hAnsi="宋体" w:cs="宋体"/>
          <w:bCs/>
          <w:szCs w:val="21"/>
        </w:rPr>
        <w:t>15.2 迟延交货的违约责任</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（2）除本合同</w:t>
      </w:r>
      <w:r>
        <w:rPr>
          <w:rFonts w:hint="eastAsia" w:ascii="宋体" w:hAnsi="宋体" w:cs="宋体"/>
          <w:bCs/>
          <w:szCs w:val="21"/>
        </w:rPr>
        <w:t>第20条</w:t>
      </w:r>
      <w:r>
        <w:rPr>
          <w:rFonts w:hint="eastAsia" w:ascii="宋体" w:hAnsi="宋体" w:cs="宋体"/>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before="50" w:line="360" w:lineRule="auto"/>
        <w:jc w:val="left"/>
        <w:rPr>
          <w:rFonts w:ascii="宋体" w:hAnsi="宋体" w:cs="宋体"/>
          <w:b/>
          <w:sz w:val="24"/>
        </w:rPr>
      </w:pPr>
      <w:r>
        <w:rPr>
          <w:rFonts w:hint="eastAsia" w:ascii="宋体" w:hAnsi="宋体" w:cs="宋体"/>
          <w:b/>
          <w:sz w:val="24"/>
        </w:rPr>
        <w:t>16.合同的变更</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16.3 除双方签署书面协议，并成为合同不可分割的一部分外，本合同条件不得有任何变更。</w:t>
      </w:r>
    </w:p>
    <w:p>
      <w:pPr>
        <w:autoSpaceDE w:val="0"/>
        <w:autoSpaceDN w:val="0"/>
        <w:adjustRightInd w:val="0"/>
        <w:snapToGrid w:val="0"/>
        <w:spacing w:before="50" w:line="360" w:lineRule="auto"/>
        <w:jc w:val="left"/>
        <w:rPr>
          <w:rFonts w:ascii="宋体" w:hAnsi="宋体" w:cs="宋体"/>
          <w:b/>
          <w:sz w:val="24"/>
        </w:rPr>
      </w:pPr>
      <w:r>
        <w:rPr>
          <w:rFonts w:hint="eastAsia" w:ascii="宋体" w:hAnsi="宋体" w:cs="宋体"/>
          <w:b/>
          <w:sz w:val="24"/>
        </w:rPr>
        <w:t>17.合同中止与终止</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17.1合同的中止</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（1）合同在履行过程中，因采购计划调整，甲方可以要求中止履行，待计划确定后继续履行；</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（2）合同履行过程中因供应商就采购过程或结果提起投诉的，甲方认为有必要或财政部门责令中止的，应当中止合同的履行。</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17.2合同的终止</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（1）合同因有效期限届满而终止；</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（2）乙方未能依照本合同约定条件履行合同，已构成根本性违约的，甲方有权终止本合同，并追究乙方的违约责任。</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（3）如果乙方丧失履约能力或被宣告破产，甲方可在任何时候以书面形式通知乙方终止合同而不给乙方补偿。</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（5）如果合同的履行将损害国家利益或社会公共利益，甲方有权终止合同的履行，给乙方造成损失的予以相应补偿。</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18.合同转让和分包</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18.1 乙方不得以任何形式将合同转包。</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18.2 乙方未在投标文件中说明，不得将</w:t>
      </w:r>
      <w:r>
        <w:rPr>
          <w:rFonts w:hint="eastAsia" w:ascii="宋体" w:hAnsi="宋体" w:cs="宋体"/>
          <w:bCs/>
          <w:szCs w:val="21"/>
        </w:rPr>
        <w:t>合同</w:t>
      </w:r>
      <w:r>
        <w:rPr>
          <w:rFonts w:hint="eastAsia" w:ascii="宋体" w:hAnsi="宋体" w:cs="宋体"/>
          <w:szCs w:val="21"/>
        </w:rPr>
        <w:t>的非主体、非关键性工作分包给他人。</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19.不可抗力</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19.1 不可抗力是指合同双方不可预见、不可避免、不可克服的自然灾害和社会事件。</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before="50" w:line="360" w:lineRule="auto"/>
        <w:jc w:val="left"/>
        <w:rPr>
          <w:rFonts w:ascii="宋体" w:hAnsi="宋体" w:cs="宋体"/>
          <w:b/>
          <w:bCs/>
          <w:sz w:val="24"/>
        </w:rPr>
      </w:pPr>
      <w:r>
        <w:rPr>
          <w:rFonts w:hint="eastAsia" w:ascii="宋体" w:hAnsi="宋体" w:cs="宋体"/>
          <w:b/>
          <w:bCs/>
          <w:sz w:val="24"/>
        </w:rPr>
        <w:t>20.解决争议的方法</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20.2 调解不成可以按</w:t>
      </w:r>
      <w:r>
        <w:rPr>
          <w:rFonts w:hint="eastAsia" w:ascii="宋体" w:hAnsi="宋体" w:cs="宋体"/>
          <w:b/>
          <w:szCs w:val="21"/>
        </w:rPr>
        <w:t>【政府采购合同专用条款】</w:t>
      </w:r>
      <w:r>
        <w:rPr>
          <w:rFonts w:hint="eastAsia" w:ascii="宋体" w:hAnsi="宋体" w:cs="宋体"/>
          <w:szCs w:val="21"/>
        </w:rPr>
        <w:t>中约定中规定下列方式之一提起仲裁或诉讼：</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（1）向甲方所在地仲裁机构提起仲裁；</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（2）向甲方所在地人民法院提起诉讼。</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before="50" w:line="360" w:lineRule="auto"/>
        <w:jc w:val="left"/>
        <w:rPr>
          <w:rFonts w:ascii="宋体" w:hAnsi="宋体" w:cs="宋体"/>
          <w:b/>
          <w:sz w:val="24"/>
        </w:rPr>
      </w:pPr>
      <w:r>
        <w:rPr>
          <w:rFonts w:hint="eastAsia" w:ascii="宋体" w:hAnsi="宋体" w:cs="宋体"/>
          <w:b/>
          <w:sz w:val="24"/>
        </w:rPr>
        <w:t>21.法律适用</w:t>
      </w:r>
    </w:p>
    <w:p>
      <w:pPr>
        <w:autoSpaceDE w:val="0"/>
        <w:autoSpaceDN w:val="0"/>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before="50" w:line="360" w:lineRule="auto"/>
        <w:jc w:val="left"/>
        <w:rPr>
          <w:rFonts w:ascii="宋体" w:hAnsi="宋体" w:cs="宋体"/>
          <w:b/>
          <w:sz w:val="24"/>
        </w:rPr>
      </w:pPr>
      <w:r>
        <w:rPr>
          <w:rFonts w:hint="eastAsia" w:ascii="宋体" w:hAnsi="宋体" w:cs="宋体"/>
          <w:b/>
          <w:bCs/>
          <w:sz w:val="24"/>
        </w:rPr>
        <w:t>22.</w:t>
      </w:r>
      <w:r>
        <w:rPr>
          <w:rFonts w:hint="eastAsia" w:ascii="宋体" w:hAnsi="宋体" w:cs="宋体"/>
          <w:b/>
          <w:sz w:val="24"/>
        </w:rPr>
        <w:t>通知</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22.1本合同一方给另一方的通知均应采用书面形式，传真或快递送到本合同中规定的对方的地址和办理签收手续，</w:t>
      </w:r>
    </w:p>
    <w:p>
      <w:pPr>
        <w:adjustRightInd w:val="0"/>
        <w:snapToGrid w:val="0"/>
        <w:spacing w:before="50" w:line="360" w:lineRule="auto"/>
        <w:ind w:firstLine="420" w:firstLineChars="200"/>
        <w:jc w:val="left"/>
        <w:rPr>
          <w:rFonts w:ascii="宋体" w:hAnsi="宋体" w:cs="宋体"/>
          <w:szCs w:val="21"/>
        </w:rPr>
      </w:pPr>
      <w:r>
        <w:rPr>
          <w:rFonts w:hint="eastAsia" w:ascii="宋体" w:hAnsi="宋体" w:cs="宋体"/>
          <w:szCs w:val="21"/>
        </w:rPr>
        <w:t>22.2通知以送到之日或通知书中规定的生效之日起生效，两者中以较迟之日为准。</w:t>
      </w:r>
    </w:p>
    <w:p>
      <w:pPr>
        <w:adjustRightInd w:val="0"/>
        <w:snapToGrid w:val="0"/>
        <w:spacing w:before="50" w:line="360" w:lineRule="auto"/>
        <w:jc w:val="left"/>
        <w:rPr>
          <w:rFonts w:ascii="宋体" w:hAnsi="宋体" w:cs="宋体"/>
          <w:b/>
          <w:bCs/>
          <w:sz w:val="24"/>
        </w:rPr>
      </w:pPr>
      <w:r>
        <w:rPr>
          <w:rFonts w:hint="eastAsia" w:ascii="宋体" w:hAnsi="宋体" w:cs="宋体"/>
          <w:b/>
          <w:bCs/>
          <w:sz w:val="24"/>
        </w:rPr>
        <w:t>23. 合同未尽事项</w:t>
      </w:r>
    </w:p>
    <w:p>
      <w:pPr>
        <w:adjustRightInd w:val="0"/>
        <w:snapToGrid w:val="0"/>
        <w:spacing w:before="50" w:line="360" w:lineRule="auto"/>
        <w:ind w:firstLine="420" w:firstLineChars="200"/>
        <w:jc w:val="left"/>
        <w:rPr>
          <w:rFonts w:ascii="宋体" w:hAnsi="宋体" w:cs="宋体"/>
          <w:bCs/>
          <w:szCs w:val="21"/>
        </w:rPr>
      </w:pPr>
      <w:r>
        <w:rPr>
          <w:rFonts w:hint="eastAsia" w:ascii="宋体" w:hAnsi="宋体" w:cs="宋体"/>
          <w:bCs/>
          <w:szCs w:val="21"/>
        </w:rPr>
        <w:t>23.1合同未尽事项见</w:t>
      </w:r>
      <w:r>
        <w:rPr>
          <w:rFonts w:hint="eastAsia" w:ascii="宋体" w:hAnsi="宋体" w:cs="宋体"/>
          <w:b/>
          <w:szCs w:val="21"/>
        </w:rPr>
        <w:t>【政府采购合同专用条款】。</w:t>
      </w:r>
    </w:p>
    <w:p>
      <w:pPr>
        <w:adjustRightInd w:val="0"/>
        <w:snapToGrid w:val="0"/>
        <w:spacing w:before="50" w:line="360" w:lineRule="auto"/>
        <w:jc w:val="left"/>
        <w:rPr>
          <w:rFonts w:ascii="宋体" w:hAnsi="宋体" w:cs="宋体"/>
          <w:b/>
          <w:bCs/>
          <w:sz w:val="24"/>
        </w:rPr>
      </w:pPr>
      <w:r>
        <w:rPr>
          <w:rFonts w:hint="eastAsia" w:ascii="宋体" w:hAnsi="宋体" w:cs="宋体"/>
          <w:b/>
          <w:bCs/>
          <w:sz w:val="24"/>
        </w:rPr>
        <w:t>24.合同生效</w:t>
      </w:r>
    </w:p>
    <w:p>
      <w:pPr>
        <w:autoSpaceDE w:val="0"/>
        <w:autoSpaceDN w:val="0"/>
        <w:adjustRightInd w:val="0"/>
        <w:snapToGrid w:val="0"/>
        <w:spacing w:before="50" w:line="360" w:lineRule="auto"/>
        <w:ind w:firstLine="420" w:firstLineChars="200"/>
        <w:jc w:val="left"/>
        <w:rPr>
          <w:rFonts w:ascii="宋体" w:hAnsi="宋体" w:cs="宋体"/>
          <w:b/>
          <w:bCs/>
          <w:sz w:val="32"/>
        </w:rPr>
      </w:pPr>
      <w:r>
        <w:rPr>
          <w:rFonts w:hint="eastAsia" w:ascii="宋体" w:hAnsi="宋体" w:cs="宋体"/>
          <w:szCs w:val="21"/>
        </w:rPr>
        <w:t>24.1 本合同在合同双方签字盖章后生效。</w:t>
      </w:r>
      <w:r>
        <w:rPr>
          <w:rFonts w:hint="eastAsia" w:ascii="宋体" w:hAnsi="宋体" w:cs="宋体"/>
          <w:b/>
          <w:bCs/>
          <w:sz w:val="32"/>
        </w:rPr>
        <w:br w:type="page"/>
      </w:r>
    </w:p>
    <w:p>
      <w:pPr>
        <w:pStyle w:val="8"/>
        <w:adjustRightInd w:val="0"/>
        <w:snapToGrid w:val="0"/>
        <w:jc w:val="center"/>
        <w:rPr>
          <w:rFonts w:ascii="宋体" w:hAnsi="宋体" w:cs="宋体"/>
          <w:sz w:val="28"/>
          <w:szCs w:val="28"/>
        </w:rPr>
      </w:pPr>
      <w:bookmarkStart w:id="274" w:name="_Toc9905"/>
      <w:bookmarkStart w:id="275" w:name="_Toc19405"/>
      <w:r>
        <w:rPr>
          <w:rFonts w:hint="eastAsia" w:ascii="宋体" w:hAnsi="宋体" w:cs="宋体"/>
          <w:sz w:val="28"/>
          <w:szCs w:val="28"/>
        </w:rPr>
        <w:t>第三节 政府采购合同专用条款</w:t>
      </w:r>
      <w:bookmarkEnd w:id="274"/>
      <w:bookmarkEnd w:id="275"/>
    </w:p>
    <w:tbl>
      <w:tblPr>
        <w:tblStyle w:val="47"/>
        <w:tblW w:w="900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843"/>
        <w:gridCol w:w="5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第1.1款</w:t>
            </w:r>
          </w:p>
        </w:tc>
        <w:tc>
          <w:tcPr>
            <w:tcW w:w="1843"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甲方名称、地址</w:t>
            </w:r>
          </w:p>
        </w:tc>
        <w:tc>
          <w:tcPr>
            <w:tcW w:w="5464" w:type="dxa"/>
            <w:vAlign w:val="center"/>
          </w:tcPr>
          <w:p>
            <w:pPr>
              <w:autoSpaceDE w:val="0"/>
              <w:autoSpaceDN w:val="0"/>
              <w:spacing w:line="360" w:lineRule="auto"/>
              <w:rPr>
                <w:rFonts w:hint="eastAsia" w:ascii="宋体" w:hAnsi="宋体" w:eastAsia="宋体" w:cs="宋体"/>
                <w:szCs w:val="21"/>
                <w:lang w:val="zh-CN"/>
              </w:rPr>
            </w:pPr>
            <w:r>
              <w:rPr>
                <w:rFonts w:hint="eastAsia" w:ascii="宋体" w:hAnsi="宋体" w:eastAsia="宋体" w:cs="宋体"/>
                <w:szCs w:val="21"/>
                <w:lang w:val="zh-CN"/>
              </w:rPr>
              <w:t>名称：</w:t>
            </w:r>
            <w:r>
              <w:rPr>
                <w:rFonts w:hint="eastAsia" w:ascii="宋体" w:hAnsi="宋体" w:cs="宋体"/>
                <w:szCs w:val="21"/>
                <w:lang w:val="zh-CN"/>
              </w:rPr>
              <w:t>南华大学附属第一医院</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地址：衡阳市石鼓区船山路69号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第1.2（6）项</w:t>
            </w:r>
          </w:p>
        </w:tc>
        <w:tc>
          <w:tcPr>
            <w:tcW w:w="1843"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项目现场</w:t>
            </w:r>
          </w:p>
        </w:tc>
        <w:tc>
          <w:tcPr>
            <w:tcW w:w="5464" w:type="dxa"/>
            <w:vAlign w:val="center"/>
          </w:tcPr>
          <w:p>
            <w:pPr>
              <w:adjustRightInd w:val="0"/>
              <w:snapToGrid w:val="0"/>
              <w:spacing w:line="360" w:lineRule="auto"/>
              <w:jc w:val="left"/>
              <w:rPr>
                <w:rFonts w:hint="eastAsia" w:ascii="宋体" w:hAnsi="宋体" w:eastAsia="宋体" w:cs="宋体"/>
                <w:szCs w:val="21"/>
              </w:rPr>
            </w:pPr>
            <w:r>
              <w:rPr>
                <w:rFonts w:hint="eastAsia" w:ascii="宋体" w:hAnsi="宋体" w:cs="宋体"/>
                <w:szCs w:val="21"/>
                <w:lang w:val="zh-CN"/>
              </w:rPr>
              <w:t>南华大学附属第一医院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第5.1款</w:t>
            </w:r>
          </w:p>
        </w:tc>
        <w:tc>
          <w:tcPr>
            <w:tcW w:w="1843"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履行合同的时间</w:t>
            </w:r>
            <w:r>
              <w:rPr>
                <w:rFonts w:hint="eastAsia" w:ascii="宋体" w:hAnsi="宋体" w:cs="宋体"/>
                <w:szCs w:val="21"/>
                <w:lang w:eastAsia="zh-CN"/>
              </w:rPr>
              <w:t>及</w:t>
            </w:r>
            <w:r>
              <w:rPr>
                <w:rFonts w:hint="eastAsia" w:ascii="宋体" w:hAnsi="宋体" w:eastAsia="宋体" w:cs="宋体"/>
                <w:szCs w:val="21"/>
              </w:rPr>
              <w:t>地点</w:t>
            </w:r>
          </w:p>
        </w:tc>
        <w:tc>
          <w:tcPr>
            <w:tcW w:w="5464" w:type="dxa"/>
            <w:vAlign w:val="center"/>
          </w:tcPr>
          <w:p>
            <w:pPr>
              <w:adjustRightInd w:val="0"/>
              <w:snapToGrid w:val="0"/>
              <w:spacing w:line="360" w:lineRule="auto"/>
              <w:jc w:val="left"/>
              <w:rPr>
                <w:rFonts w:hint="eastAsia" w:ascii="宋体" w:hAnsi="宋体" w:eastAsia="宋体" w:cs="宋体"/>
                <w:szCs w:val="21"/>
                <w:lang w:eastAsia="zh-CN"/>
              </w:rPr>
            </w:pPr>
            <w:r>
              <w:rPr>
                <w:rFonts w:hint="eastAsia" w:ascii="宋体" w:hAnsi="宋体" w:eastAsia="宋体" w:cs="宋体"/>
                <w:szCs w:val="21"/>
              </w:rPr>
              <w:t>服务地点：</w:t>
            </w:r>
            <w:r>
              <w:rPr>
                <w:rFonts w:hint="eastAsia" w:ascii="宋体" w:hAnsi="宋体" w:cs="宋体"/>
                <w:szCs w:val="21"/>
                <w:lang w:eastAsia="zh-CN"/>
              </w:rPr>
              <w:t>南华大学附属第一医院院内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第13.5款</w:t>
            </w:r>
          </w:p>
        </w:tc>
        <w:tc>
          <w:tcPr>
            <w:tcW w:w="1843"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合同价款支付方式</w:t>
            </w:r>
            <w:r>
              <w:rPr>
                <w:rFonts w:hint="eastAsia" w:ascii="宋体" w:hAnsi="宋体" w:eastAsia="宋体" w:cs="宋体"/>
                <w:bCs/>
                <w:szCs w:val="21"/>
              </w:rPr>
              <w:t>和条件</w:t>
            </w:r>
          </w:p>
        </w:tc>
        <w:tc>
          <w:tcPr>
            <w:tcW w:w="5464" w:type="dxa"/>
            <w:vAlign w:val="center"/>
          </w:tcPr>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lang w:eastAsia="zh-CN"/>
              </w:rPr>
              <w:t>按合同约定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第14.2（5）项</w:t>
            </w:r>
          </w:p>
        </w:tc>
        <w:tc>
          <w:tcPr>
            <w:tcW w:w="1843"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伴随服务</w:t>
            </w:r>
          </w:p>
        </w:tc>
        <w:tc>
          <w:tcPr>
            <w:tcW w:w="5464" w:type="dxa"/>
            <w:vAlign w:val="center"/>
          </w:tcPr>
          <w:p>
            <w:pPr>
              <w:adjustRightInd w:val="0"/>
              <w:snapToGrid w:val="0"/>
              <w:spacing w:line="360" w:lineRule="auto"/>
              <w:jc w:val="left"/>
              <w:rPr>
                <w:rFonts w:hint="eastAsia" w:ascii="宋体" w:hAnsi="宋体" w:eastAsia="宋体" w:cs="宋体"/>
                <w:szCs w:val="21"/>
              </w:rPr>
            </w:pPr>
            <w:r>
              <w:rPr>
                <w:rFonts w:hint="eastAsia" w:ascii="宋体" w:hAnsi="宋体" w:eastAsia="宋体" w:cs="宋体"/>
                <w:szCs w:val="21"/>
              </w:rPr>
              <w:t>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bCs/>
                <w:szCs w:val="21"/>
              </w:rPr>
            </w:pPr>
            <w:r>
              <w:rPr>
                <w:rFonts w:hint="eastAsia" w:ascii="宋体" w:hAnsi="宋体" w:eastAsia="宋体" w:cs="宋体"/>
                <w:szCs w:val="21"/>
              </w:rPr>
              <w:t>第20.2款</w:t>
            </w:r>
          </w:p>
        </w:tc>
        <w:tc>
          <w:tcPr>
            <w:tcW w:w="1843" w:type="dxa"/>
            <w:vAlign w:val="center"/>
          </w:tcPr>
          <w:p>
            <w:pPr>
              <w:adjustRightInd w:val="0"/>
              <w:snapToGrid w:val="0"/>
              <w:spacing w:line="360" w:lineRule="auto"/>
              <w:jc w:val="center"/>
              <w:rPr>
                <w:rFonts w:hint="eastAsia" w:ascii="宋体" w:hAnsi="宋体" w:eastAsia="宋体" w:cs="宋体"/>
                <w:bCs/>
                <w:szCs w:val="21"/>
              </w:rPr>
            </w:pPr>
            <w:r>
              <w:rPr>
                <w:rFonts w:hint="eastAsia" w:ascii="宋体" w:hAnsi="宋体" w:eastAsia="宋体" w:cs="宋体"/>
                <w:szCs w:val="21"/>
              </w:rPr>
              <w:t>解决争议的方式</w:t>
            </w:r>
          </w:p>
        </w:tc>
        <w:tc>
          <w:tcPr>
            <w:tcW w:w="5464" w:type="dxa"/>
            <w:vAlign w:val="center"/>
          </w:tcPr>
          <w:p>
            <w:pPr>
              <w:adjustRightInd w:val="0"/>
              <w:snapToGrid w:val="0"/>
              <w:spacing w:line="360" w:lineRule="auto"/>
              <w:jc w:val="left"/>
              <w:rPr>
                <w:rFonts w:hint="eastAsia" w:ascii="宋体" w:hAnsi="宋体" w:eastAsia="宋体" w:cs="宋体"/>
                <w:szCs w:val="21"/>
              </w:rPr>
            </w:pPr>
            <w:r>
              <w:rPr>
                <w:rFonts w:hint="eastAsia" w:ascii="宋体" w:hAnsi="宋体" w:eastAsia="宋体" w:cs="宋体"/>
                <w:b/>
                <w:color w:val="000000"/>
                <w:szCs w:val="21"/>
              </w:rPr>
              <w:fldChar w:fldCharType="begin"/>
            </w:r>
            <w:r>
              <w:rPr>
                <w:rFonts w:hint="eastAsia" w:ascii="宋体" w:hAnsi="宋体" w:eastAsia="宋体" w:cs="宋体"/>
                <w:b/>
                <w:color w:val="000000"/>
                <w:szCs w:val="21"/>
              </w:rPr>
              <w:instrText xml:space="preserve"> eq \o\ac(□,√)</w:instrText>
            </w:r>
            <w:r>
              <w:rPr>
                <w:rFonts w:hint="eastAsia" w:ascii="宋体" w:hAnsi="宋体" w:eastAsia="宋体" w:cs="宋体"/>
                <w:b/>
                <w:color w:val="000000"/>
                <w:szCs w:val="21"/>
              </w:rPr>
              <w:fldChar w:fldCharType="end"/>
            </w:r>
            <w:r>
              <w:rPr>
                <w:rFonts w:hint="eastAsia" w:ascii="宋体" w:hAnsi="宋体" w:eastAsia="宋体" w:cs="宋体"/>
                <w:szCs w:val="21"/>
              </w:rPr>
              <w:t xml:space="preserve"> 诉讼</w:t>
            </w:r>
          </w:p>
          <w:p>
            <w:pPr>
              <w:adjustRightInd w:val="0"/>
              <w:snapToGrid w:val="0"/>
              <w:spacing w:line="360" w:lineRule="auto"/>
              <w:jc w:val="left"/>
              <w:rPr>
                <w:rFonts w:hint="eastAsia" w:ascii="宋体" w:hAnsi="宋体" w:eastAsia="宋体" w:cs="宋体"/>
                <w:szCs w:val="21"/>
              </w:rPr>
            </w:pPr>
            <w:r>
              <w:rPr>
                <w:rFonts w:hint="eastAsia" w:ascii="宋体" w:hAnsi="宋体" w:eastAsia="宋体" w:cs="宋体"/>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第五章第二节</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第23.1款</w:t>
            </w:r>
          </w:p>
        </w:tc>
        <w:tc>
          <w:tcPr>
            <w:tcW w:w="1843"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bCs/>
                <w:szCs w:val="21"/>
              </w:rPr>
              <w:t>合同未尽事项</w:t>
            </w:r>
          </w:p>
        </w:tc>
        <w:tc>
          <w:tcPr>
            <w:tcW w:w="5464" w:type="dxa"/>
            <w:vAlign w:val="center"/>
          </w:tcPr>
          <w:p>
            <w:pPr>
              <w:adjustRightInd w:val="0"/>
              <w:snapToGrid w:val="0"/>
              <w:spacing w:line="360" w:lineRule="auto"/>
              <w:jc w:val="left"/>
              <w:rPr>
                <w:rFonts w:hint="eastAsia" w:ascii="宋体" w:hAnsi="宋体" w:eastAsia="宋体" w:cs="宋体"/>
                <w:szCs w:val="21"/>
              </w:rPr>
            </w:pPr>
            <w:r>
              <w:rPr>
                <w:rFonts w:hint="eastAsia" w:ascii="宋体" w:hAnsi="宋体" w:eastAsia="宋体" w:cs="宋体"/>
                <w:szCs w:val="21"/>
              </w:rPr>
              <w:t>双方协商</w:t>
            </w:r>
          </w:p>
        </w:tc>
      </w:tr>
    </w:tbl>
    <w:p>
      <w:pPr>
        <w:autoSpaceDE w:val="0"/>
        <w:autoSpaceDN w:val="0"/>
        <w:adjustRightInd w:val="0"/>
        <w:snapToGrid w:val="0"/>
        <w:spacing w:before="156" w:line="360" w:lineRule="auto"/>
        <w:ind w:firstLine="643" w:firstLineChars="200"/>
        <w:jc w:val="left"/>
        <w:rPr>
          <w:rFonts w:ascii="黑体" w:hAnsi="黑体" w:eastAsia="黑体"/>
          <w:b/>
          <w:bCs/>
          <w:sz w:val="32"/>
        </w:rPr>
      </w:pPr>
      <w:r>
        <w:rPr>
          <w:rFonts w:ascii="黑体" w:hAnsi="黑体" w:eastAsia="黑体"/>
          <w:b/>
          <w:bCs/>
          <w:sz w:val="32"/>
        </w:rPr>
        <w:br w:type="page"/>
      </w:r>
    </w:p>
    <w:p>
      <w:pPr>
        <w:pStyle w:val="26"/>
        <w:adjustRightInd w:val="0"/>
        <w:snapToGrid w:val="0"/>
        <w:spacing w:line="360" w:lineRule="auto"/>
        <w:jc w:val="center"/>
        <w:outlineLvl w:val="0"/>
        <w:rPr>
          <w:rFonts w:hAnsi="宋体" w:cs="宋体"/>
          <w:b/>
          <w:sz w:val="32"/>
          <w:szCs w:val="32"/>
        </w:rPr>
      </w:pPr>
      <w:bookmarkStart w:id="276" w:name="_Toc25520"/>
      <w:bookmarkStart w:id="277" w:name="_Toc13607"/>
      <w:r>
        <w:rPr>
          <w:rFonts w:hint="eastAsia" w:hAnsi="宋体" w:cs="宋体"/>
          <w:b/>
          <w:sz w:val="32"/>
          <w:szCs w:val="32"/>
        </w:rPr>
        <w:t>第七章 投标文件的组成</w:t>
      </w:r>
      <w:bookmarkEnd w:id="276"/>
      <w:bookmarkEnd w:id="277"/>
    </w:p>
    <w:p>
      <w:pPr>
        <w:adjustRightInd w:val="0"/>
        <w:snapToGrid w:val="0"/>
        <w:spacing w:line="360" w:lineRule="auto"/>
        <w:ind w:left="-88" w:leftChars="-42"/>
        <w:jc w:val="center"/>
        <w:rPr>
          <w:rFonts w:ascii="宋体" w:hAnsi="宋体" w:cs="宋体"/>
          <w:b/>
          <w:bCs/>
          <w:sz w:val="32"/>
        </w:rPr>
      </w:pP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第一部分 资格证明文件</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一、开标一览表</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二、投标保</w:t>
      </w:r>
      <w:r>
        <w:rPr>
          <w:rFonts w:hint="eastAsia" w:ascii="宋体" w:hAnsi="宋体" w:cs="宋体"/>
          <w:bCs/>
          <w:szCs w:val="21"/>
        </w:rPr>
        <w:t>证金</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三、法定代表人授权委托书</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四、投标人提供的资格证明文件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第二部分 商务技术文件</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五、投标函</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六、分项报价明细表</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七、采购需求响应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八、商务、合同条款偏离表</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九、采购需求偏离表</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十、享受政府采购政策优惠的证明资料和清单表</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十一、投标货物符合</w:t>
      </w:r>
      <w:r>
        <w:rPr>
          <w:rFonts w:hint="eastAsia" w:ascii="宋体" w:hAnsi="宋体" w:cs="宋体"/>
          <w:szCs w:val="21"/>
          <w:lang w:eastAsia="zh-CN"/>
        </w:rPr>
        <w:t>采购文件</w:t>
      </w:r>
      <w:r>
        <w:rPr>
          <w:rFonts w:hint="eastAsia" w:ascii="宋体" w:hAnsi="宋体" w:cs="宋体"/>
          <w:szCs w:val="21"/>
        </w:rPr>
        <w:t>规定的证明文件</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十二、投标人认为需提供的其他资料</w:t>
      </w:r>
    </w:p>
    <w:p>
      <w:pPr>
        <w:adjustRightInd w:val="0"/>
        <w:snapToGrid w:val="0"/>
        <w:spacing w:before="156" w:beforeLines="50" w:line="360" w:lineRule="auto"/>
        <w:ind w:firstLine="420" w:firstLineChars="200"/>
        <w:jc w:val="left"/>
        <w:rPr>
          <w:rFonts w:ascii="宋体" w:hAnsi="宋体" w:cs="宋体"/>
          <w:color w:val="000000"/>
          <w:szCs w:val="21"/>
        </w:rPr>
      </w:pPr>
      <w:r>
        <w:rPr>
          <w:rFonts w:hint="eastAsia" w:ascii="宋体" w:hAnsi="宋体" w:cs="宋体"/>
          <w:szCs w:val="21"/>
        </w:rPr>
        <w:t>十三、</w:t>
      </w:r>
      <w:r>
        <w:rPr>
          <w:rFonts w:hint="eastAsia" w:ascii="宋体" w:hAnsi="宋体" w:cs="宋体"/>
          <w:color w:val="000000"/>
          <w:szCs w:val="21"/>
          <w:lang w:eastAsia="zh-CN"/>
        </w:rPr>
        <w:t>采购</w:t>
      </w:r>
      <w:r>
        <w:rPr>
          <w:rFonts w:hint="eastAsia" w:ascii="宋体" w:hAnsi="宋体" w:cs="宋体"/>
          <w:color w:val="000000"/>
          <w:szCs w:val="21"/>
        </w:rPr>
        <w:t>代理服务费承诺书</w:t>
      </w:r>
    </w:p>
    <w:p>
      <w:pPr>
        <w:adjustRightInd w:val="0"/>
        <w:snapToGrid w:val="0"/>
        <w:spacing w:before="156" w:beforeLines="50" w:line="360" w:lineRule="auto"/>
        <w:ind w:firstLine="420" w:firstLineChars="200"/>
        <w:jc w:val="left"/>
        <w:rPr>
          <w:rFonts w:ascii="宋体" w:hAnsi="宋体" w:cs="宋体"/>
          <w:color w:val="000000"/>
          <w:szCs w:val="21"/>
        </w:rPr>
      </w:pPr>
      <w:r>
        <w:rPr>
          <w:rFonts w:hint="eastAsia" w:ascii="宋体" w:hAnsi="宋体" w:cs="宋体"/>
          <w:color w:val="000000"/>
          <w:szCs w:val="21"/>
        </w:rPr>
        <w:t>注：投标人可编制资格审查索引表、符合性审查索引表、评审索引表，并</w:t>
      </w:r>
      <w:r>
        <w:rPr>
          <w:rFonts w:hint="eastAsia" w:ascii="宋体" w:hAnsi="宋体" w:cs="宋体"/>
          <w:b/>
          <w:color w:val="000000"/>
          <w:szCs w:val="21"/>
        </w:rPr>
        <w:t>将资格审查索引表置于“资格证明文件”的第一页</w:t>
      </w:r>
      <w:r>
        <w:rPr>
          <w:rFonts w:hint="eastAsia" w:ascii="宋体" w:hAnsi="宋体" w:cs="宋体"/>
          <w:color w:val="000000"/>
          <w:szCs w:val="21"/>
        </w:rPr>
        <w:t>，</w:t>
      </w:r>
      <w:r>
        <w:rPr>
          <w:rFonts w:hint="eastAsia" w:ascii="宋体" w:hAnsi="宋体" w:cs="宋体"/>
          <w:b/>
          <w:color w:val="000000"/>
          <w:szCs w:val="21"/>
        </w:rPr>
        <w:t>将符合性审查索引表、评审索引表置于“商务技术文件”的第一、二页</w:t>
      </w:r>
      <w:r>
        <w:rPr>
          <w:rFonts w:hint="eastAsia" w:ascii="宋体" w:hAnsi="宋体" w:cs="宋体"/>
          <w:color w:val="000000"/>
          <w:szCs w:val="21"/>
        </w:rPr>
        <w:t>，以便采购人及采购代理机构资格审查和评标委员会评审。</w:t>
      </w:r>
    </w:p>
    <w:p>
      <w:pPr>
        <w:adjustRightInd w:val="0"/>
        <w:snapToGrid w:val="0"/>
        <w:spacing w:line="360" w:lineRule="auto"/>
        <w:jc w:val="center"/>
        <w:rPr>
          <w:rFonts w:ascii="宋体" w:hAnsi="宋体" w:cs="宋体"/>
          <w:color w:val="000000"/>
          <w:szCs w:val="21"/>
        </w:rPr>
      </w:pPr>
    </w:p>
    <w:p>
      <w:pPr>
        <w:adjustRightInd w:val="0"/>
        <w:snapToGrid w:val="0"/>
        <w:spacing w:line="360" w:lineRule="auto"/>
        <w:jc w:val="center"/>
        <w:rPr>
          <w:rFonts w:ascii="宋体" w:hAnsi="宋体" w:cs="宋体"/>
          <w:color w:val="000000"/>
          <w:sz w:val="32"/>
          <w:szCs w:val="32"/>
        </w:rPr>
      </w:pPr>
      <w:r>
        <w:rPr>
          <w:rFonts w:hint="eastAsia" w:ascii="宋体" w:hAnsi="宋体" w:cs="宋体"/>
          <w:color w:val="000000"/>
          <w:szCs w:val="21"/>
        </w:rPr>
        <w:br w:type="page"/>
      </w:r>
    </w:p>
    <w:p>
      <w:pPr>
        <w:adjustRightInd w:val="0"/>
        <w:snapToGrid w:val="0"/>
        <w:spacing w:line="360" w:lineRule="auto"/>
        <w:jc w:val="center"/>
        <w:rPr>
          <w:rFonts w:ascii="宋体" w:hAnsi="宋体" w:cs="宋体"/>
          <w:color w:val="000000"/>
          <w:sz w:val="32"/>
          <w:szCs w:val="32"/>
        </w:rPr>
      </w:pPr>
    </w:p>
    <w:p>
      <w:pPr>
        <w:adjustRightInd w:val="0"/>
        <w:snapToGrid w:val="0"/>
        <w:spacing w:line="360" w:lineRule="auto"/>
        <w:jc w:val="center"/>
        <w:rPr>
          <w:rFonts w:ascii="宋体" w:hAnsi="宋体" w:cs="宋体"/>
          <w:color w:val="000000"/>
          <w:sz w:val="32"/>
          <w:szCs w:val="32"/>
        </w:rPr>
      </w:pPr>
    </w:p>
    <w:p>
      <w:pPr>
        <w:adjustRightInd w:val="0"/>
        <w:snapToGrid w:val="0"/>
        <w:spacing w:line="360" w:lineRule="auto"/>
        <w:jc w:val="center"/>
        <w:rPr>
          <w:rFonts w:ascii="宋体" w:hAnsi="宋体" w:cs="宋体"/>
          <w:color w:val="000000"/>
          <w:sz w:val="32"/>
          <w:szCs w:val="32"/>
        </w:rPr>
      </w:pPr>
    </w:p>
    <w:p>
      <w:pPr>
        <w:pStyle w:val="26"/>
        <w:adjustRightInd w:val="0"/>
        <w:snapToGrid w:val="0"/>
        <w:spacing w:line="360" w:lineRule="auto"/>
        <w:jc w:val="center"/>
        <w:rPr>
          <w:rFonts w:hAnsi="宋体" w:cs="宋体"/>
          <w:b/>
          <w:bCs/>
          <w:sz w:val="72"/>
          <w:szCs w:val="72"/>
        </w:rPr>
      </w:pPr>
      <w:r>
        <w:rPr>
          <w:rFonts w:hint="eastAsia" w:hAnsi="宋体" w:cs="宋体"/>
          <w:b/>
          <w:bCs/>
          <w:sz w:val="72"/>
          <w:szCs w:val="72"/>
        </w:rPr>
        <w:t>政府采购</w:t>
      </w:r>
    </w:p>
    <w:p>
      <w:pPr>
        <w:adjustRightInd w:val="0"/>
        <w:snapToGrid w:val="0"/>
        <w:spacing w:line="360" w:lineRule="auto"/>
        <w:jc w:val="center"/>
        <w:rPr>
          <w:rFonts w:ascii="宋体" w:hAnsi="宋体" w:cs="宋体"/>
          <w:b/>
          <w:bCs/>
          <w:sz w:val="84"/>
          <w:szCs w:val="84"/>
        </w:rPr>
      </w:pPr>
      <w:r>
        <w:rPr>
          <w:rFonts w:hint="eastAsia" w:ascii="宋体" w:hAnsi="宋体" w:cs="宋体"/>
          <w:b/>
          <w:bCs/>
          <w:sz w:val="84"/>
          <w:szCs w:val="84"/>
        </w:rPr>
        <w:t>投 标 文 件</w:t>
      </w:r>
    </w:p>
    <w:p>
      <w:pPr>
        <w:pStyle w:val="8"/>
        <w:adjustRightInd w:val="0"/>
        <w:snapToGrid w:val="0"/>
        <w:jc w:val="center"/>
        <w:rPr>
          <w:rFonts w:ascii="宋体" w:hAnsi="宋体" w:cs="宋体"/>
          <w:color w:val="000000"/>
          <w:sz w:val="44"/>
          <w:szCs w:val="44"/>
        </w:rPr>
      </w:pPr>
      <w:bookmarkStart w:id="278" w:name="_Toc28197"/>
      <w:bookmarkStart w:id="279" w:name="_Toc4228"/>
      <w:r>
        <w:rPr>
          <w:rFonts w:hint="eastAsia" w:ascii="宋体" w:hAnsi="宋体" w:cs="宋体"/>
          <w:color w:val="000000"/>
          <w:sz w:val="44"/>
          <w:szCs w:val="44"/>
        </w:rPr>
        <w:t>第一部分 资格证明文件</w:t>
      </w:r>
      <w:bookmarkEnd w:id="278"/>
      <w:bookmarkEnd w:id="279"/>
    </w:p>
    <w:p>
      <w:pPr>
        <w:adjustRightInd w:val="0"/>
        <w:snapToGrid w:val="0"/>
        <w:spacing w:line="360" w:lineRule="auto"/>
        <w:rPr>
          <w:rFonts w:ascii="宋体" w:hAnsi="宋体" w:cs="宋体"/>
          <w:b/>
          <w:color w:val="000000"/>
          <w:sz w:val="32"/>
          <w:szCs w:val="32"/>
        </w:rPr>
      </w:pPr>
    </w:p>
    <w:p>
      <w:pPr>
        <w:adjustRightInd w:val="0"/>
        <w:snapToGrid w:val="0"/>
        <w:spacing w:line="360" w:lineRule="auto"/>
        <w:rPr>
          <w:rFonts w:ascii="宋体" w:hAnsi="宋体" w:cs="宋体"/>
          <w:b/>
          <w:color w:val="000000"/>
          <w:sz w:val="30"/>
          <w:szCs w:val="30"/>
        </w:rPr>
      </w:pP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采购项目名称:</w:t>
      </w:r>
    </w:p>
    <w:p>
      <w:pPr>
        <w:pStyle w:val="26"/>
        <w:adjustRightInd w:val="0"/>
        <w:snapToGrid w:val="0"/>
        <w:spacing w:line="360" w:lineRule="auto"/>
        <w:ind w:firstLine="1988" w:firstLineChars="660"/>
        <w:rPr>
          <w:rFonts w:hAnsi="宋体" w:cs="宋体"/>
          <w:b/>
          <w:bCs/>
          <w:sz w:val="30"/>
          <w:szCs w:val="30"/>
        </w:rPr>
      </w:pPr>
      <w:r>
        <w:rPr>
          <w:rFonts w:hint="eastAsia" w:hAnsi="宋体" w:cs="宋体"/>
          <w:b/>
          <w:bCs/>
          <w:sz w:val="30"/>
          <w:szCs w:val="30"/>
        </w:rPr>
        <w:t>采   购   人：</w:t>
      </w: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政府采购编号:</w:t>
      </w: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采购代理编号:</w:t>
      </w: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采购代理机构：</w:t>
      </w:r>
    </w:p>
    <w:p>
      <w:pPr>
        <w:adjustRightInd w:val="0"/>
        <w:snapToGrid w:val="0"/>
        <w:spacing w:line="360" w:lineRule="auto"/>
        <w:rPr>
          <w:rFonts w:ascii="宋体" w:hAnsi="宋体" w:cs="宋体"/>
          <w:color w:val="000000"/>
          <w:sz w:val="30"/>
          <w:szCs w:val="30"/>
        </w:rPr>
      </w:pPr>
    </w:p>
    <w:p>
      <w:pPr>
        <w:adjustRightInd w:val="0"/>
        <w:snapToGrid w:val="0"/>
        <w:spacing w:line="360" w:lineRule="auto"/>
        <w:rPr>
          <w:rFonts w:ascii="宋体" w:hAnsi="宋体" w:cs="宋体"/>
          <w:color w:val="000000"/>
          <w:sz w:val="30"/>
          <w:szCs w:val="30"/>
        </w:rPr>
      </w:pPr>
    </w:p>
    <w:p>
      <w:pPr>
        <w:adjustRightInd w:val="0"/>
        <w:snapToGrid w:val="0"/>
        <w:spacing w:line="360" w:lineRule="auto"/>
        <w:rPr>
          <w:rFonts w:ascii="宋体" w:hAnsi="宋体" w:cs="宋体"/>
          <w:color w:val="000000"/>
          <w:sz w:val="30"/>
          <w:szCs w:val="30"/>
        </w:rPr>
      </w:pPr>
    </w:p>
    <w:p>
      <w:pPr>
        <w:adjustRightInd w:val="0"/>
        <w:snapToGrid w:val="0"/>
        <w:spacing w:line="360" w:lineRule="auto"/>
        <w:rPr>
          <w:rFonts w:ascii="宋体" w:hAnsi="宋体" w:cs="宋体"/>
          <w:color w:val="000000"/>
          <w:sz w:val="30"/>
          <w:szCs w:val="30"/>
        </w:rPr>
      </w:pPr>
    </w:p>
    <w:p>
      <w:pPr>
        <w:adjustRightInd w:val="0"/>
        <w:snapToGrid w:val="0"/>
        <w:spacing w:line="360" w:lineRule="auto"/>
        <w:ind w:firstLine="1984" w:firstLineChars="620"/>
        <w:rPr>
          <w:rFonts w:ascii="宋体" w:hAnsi="宋体" w:cs="宋体"/>
          <w:color w:val="000000"/>
          <w:sz w:val="32"/>
          <w:szCs w:val="32"/>
          <w:u w:val="single"/>
        </w:rPr>
      </w:pPr>
      <w:r>
        <w:rPr>
          <w:rFonts w:hint="eastAsia" w:ascii="宋体" w:hAnsi="宋体" w:cs="宋体"/>
          <w:color w:val="000000"/>
          <w:sz w:val="32"/>
          <w:szCs w:val="32"/>
        </w:rPr>
        <w:t>投标人</w:t>
      </w:r>
    </w:p>
    <w:p>
      <w:pPr>
        <w:adjustRightInd w:val="0"/>
        <w:snapToGrid w:val="0"/>
        <w:spacing w:line="360" w:lineRule="auto"/>
        <w:jc w:val="center"/>
        <w:rPr>
          <w:rFonts w:ascii="宋体" w:hAnsi="宋体" w:cs="宋体"/>
          <w:sz w:val="28"/>
          <w:szCs w:val="28"/>
        </w:rPr>
      </w:pPr>
      <w:r>
        <w:rPr>
          <w:rFonts w:hint="eastAsia" w:ascii="宋体" w:hAnsi="宋体" w:cs="宋体"/>
          <w:color w:val="000000"/>
          <w:sz w:val="32"/>
          <w:szCs w:val="32"/>
        </w:rPr>
        <w:t>年  月  日</w:t>
      </w:r>
      <w:r>
        <w:rPr>
          <w:rFonts w:hint="eastAsia" w:ascii="宋体" w:hAnsi="宋体" w:cs="宋体"/>
          <w:sz w:val="28"/>
          <w:szCs w:val="28"/>
        </w:rPr>
        <w:br w:type="page"/>
      </w:r>
    </w:p>
    <w:p>
      <w:pPr>
        <w:pStyle w:val="10"/>
        <w:adjustRightInd w:val="0"/>
        <w:snapToGrid w:val="0"/>
        <w:spacing w:before="156" w:beforeLines="50" w:after="0" w:line="360" w:lineRule="auto"/>
        <w:jc w:val="left"/>
        <w:rPr>
          <w:rFonts w:ascii="宋体" w:hAnsi="宋体" w:eastAsia="宋体" w:cs="宋体"/>
          <w:b w:val="0"/>
          <w:sz w:val="21"/>
          <w:szCs w:val="21"/>
        </w:rPr>
      </w:pPr>
      <w:bookmarkStart w:id="280" w:name="_Toc22335"/>
      <w:r>
        <w:rPr>
          <w:rFonts w:hint="eastAsia" w:ascii="宋体" w:hAnsi="宋体" w:eastAsia="宋体" w:cs="宋体"/>
          <w:b w:val="0"/>
          <w:sz w:val="21"/>
          <w:szCs w:val="21"/>
        </w:rPr>
        <w:t>索引表1 资格审查索引表</w:t>
      </w:r>
      <w:bookmarkEnd w:id="280"/>
    </w:p>
    <w:p>
      <w:pPr>
        <w:adjustRightInd w:val="0"/>
        <w:snapToGrid w:val="0"/>
        <w:spacing w:before="156" w:beforeLines="50" w:line="360" w:lineRule="auto"/>
        <w:jc w:val="center"/>
        <w:rPr>
          <w:rFonts w:ascii="宋体" w:hAnsi="宋体" w:cs="宋体"/>
          <w:sz w:val="28"/>
          <w:szCs w:val="28"/>
        </w:rPr>
      </w:pPr>
      <w:r>
        <w:rPr>
          <w:rFonts w:hint="eastAsia" w:ascii="宋体" w:hAnsi="宋体" w:cs="宋体"/>
          <w:sz w:val="28"/>
          <w:szCs w:val="28"/>
        </w:rPr>
        <w:t>资格审查索引表</w:t>
      </w:r>
    </w:p>
    <w:tbl>
      <w:tblPr>
        <w:tblStyle w:val="47"/>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551"/>
        <w:gridCol w:w="2127"/>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序号</w:t>
            </w:r>
          </w:p>
        </w:tc>
        <w:tc>
          <w:tcPr>
            <w:tcW w:w="1871" w:type="dxa"/>
            <w:tcBorders>
              <w:right w:val="single" w:color="auto" w:sz="4" w:space="0"/>
            </w:tcBorders>
            <w:vAlign w:val="center"/>
          </w:tcPr>
          <w:p>
            <w:pPr>
              <w:adjustRightInd w:val="0"/>
              <w:spacing w:before="156" w:beforeLines="50" w:line="360" w:lineRule="auto"/>
              <w:jc w:val="center"/>
              <w:rPr>
                <w:rFonts w:ascii="宋体" w:hAnsi="宋体" w:cs="宋体"/>
                <w:b/>
                <w:kern w:val="0"/>
                <w:sz w:val="20"/>
                <w:szCs w:val="21"/>
              </w:rPr>
            </w:pPr>
            <w:r>
              <w:rPr>
                <w:rFonts w:hint="eastAsia" w:ascii="宋体" w:hAnsi="宋体" w:cs="宋体"/>
                <w:b/>
                <w:kern w:val="0"/>
                <w:sz w:val="20"/>
                <w:szCs w:val="21"/>
                <w:lang w:eastAsia="zh-CN"/>
              </w:rPr>
              <w:t>采购</w:t>
            </w:r>
            <w:r>
              <w:rPr>
                <w:rFonts w:hint="eastAsia" w:ascii="宋体" w:hAnsi="宋体" w:cs="宋体"/>
                <w:b/>
                <w:kern w:val="0"/>
                <w:sz w:val="20"/>
                <w:szCs w:val="21"/>
              </w:rPr>
              <w:t>文件条款号</w:t>
            </w:r>
          </w:p>
        </w:tc>
        <w:tc>
          <w:tcPr>
            <w:tcW w:w="2551" w:type="dxa"/>
            <w:tcBorders>
              <w:left w:val="single" w:color="auto" w:sz="4" w:space="0"/>
            </w:tcBorders>
            <w:vAlign w:val="center"/>
          </w:tcPr>
          <w:p>
            <w:pPr>
              <w:adjustRightInd w:val="0"/>
              <w:spacing w:before="156" w:beforeLines="50" w:line="360" w:lineRule="auto"/>
              <w:jc w:val="center"/>
              <w:rPr>
                <w:rFonts w:ascii="宋体" w:hAnsi="宋体" w:cs="宋体"/>
                <w:b/>
                <w:kern w:val="0"/>
                <w:sz w:val="20"/>
                <w:szCs w:val="21"/>
              </w:rPr>
            </w:pPr>
            <w:r>
              <w:rPr>
                <w:rFonts w:hint="eastAsia" w:ascii="宋体" w:hAnsi="宋体" w:cs="宋体"/>
                <w:b/>
                <w:kern w:val="0"/>
                <w:szCs w:val="21"/>
              </w:rPr>
              <w:t>资格审查标准</w:t>
            </w:r>
          </w:p>
        </w:tc>
        <w:tc>
          <w:tcPr>
            <w:tcW w:w="2127"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证明材料</w:t>
            </w:r>
          </w:p>
        </w:tc>
        <w:tc>
          <w:tcPr>
            <w:tcW w:w="1722" w:type="dxa"/>
            <w:vAlign w:val="center"/>
          </w:tcPr>
          <w:p>
            <w:pPr>
              <w:adjustRightInd w:val="0"/>
              <w:spacing w:before="156" w:beforeLines="50" w:line="360" w:lineRule="auto"/>
              <w:jc w:val="center"/>
              <w:rPr>
                <w:rFonts w:ascii="宋体" w:hAnsi="宋体" w:cs="宋体"/>
                <w:b/>
                <w:kern w:val="0"/>
                <w:sz w:val="20"/>
                <w:szCs w:val="21"/>
              </w:rPr>
            </w:pPr>
            <w:r>
              <w:rPr>
                <w:rFonts w:hint="eastAsia" w:ascii="宋体" w:hAnsi="宋体" w:cs="宋体"/>
                <w:b/>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551"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127"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bl>
    <w:p>
      <w:r>
        <w:rPr>
          <w:rFonts w:hint="eastAsia"/>
        </w:rPr>
        <w:br w:type="page"/>
      </w:r>
    </w:p>
    <w:p>
      <w:pPr>
        <w:pStyle w:val="9"/>
        <w:adjustRightInd w:val="0"/>
        <w:snapToGrid w:val="0"/>
        <w:spacing w:before="0" w:after="0" w:line="360" w:lineRule="auto"/>
        <w:jc w:val="center"/>
        <w:rPr>
          <w:rFonts w:ascii="宋体" w:hAnsi="宋体" w:cs="宋体"/>
          <w:sz w:val="28"/>
          <w:szCs w:val="28"/>
        </w:rPr>
      </w:pPr>
      <w:bookmarkStart w:id="281" w:name="_Toc3971"/>
      <w:bookmarkStart w:id="282" w:name="_Toc23586"/>
      <w:r>
        <w:rPr>
          <w:rFonts w:hint="eastAsia" w:ascii="宋体" w:hAnsi="宋体" w:cs="宋体"/>
          <w:sz w:val="28"/>
          <w:szCs w:val="28"/>
        </w:rPr>
        <w:t>一、开标一览表</w:t>
      </w:r>
      <w:bookmarkEnd w:id="281"/>
      <w:bookmarkEnd w:id="282"/>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670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246" w:type="dxa"/>
            <w:vAlign w:val="center"/>
          </w:tcPr>
          <w:p>
            <w:pPr>
              <w:spacing w:line="480" w:lineRule="exact"/>
              <w:jc w:val="center"/>
              <w:rPr>
                <w:rFonts w:ascii="宋体" w:hAnsi="宋体"/>
                <w:szCs w:val="21"/>
              </w:rPr>
            </w:pPr>
            <w:r>
              <w:rPr>
                <w:rFonts w:hint="eastAsia" w:ascii="宋体" w:hAnsi="宋体"/>
                <w:szCs w:val="21"/>
              </w:rPr>
              <w:t>投标人名称</w:t>
            </w:r>
          </w:p>
        </w:tc>
        <w:tc>
          <w:tcPr>
            <w:tcW w:w="6704" w:type="dxa"/>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2246" w:type="dxa"/>
            <w:vAlign w:val="center"/>
          </w:tcPr>
          <w:p>
            <w:pPr>
              <w:spacing w:line="480" w:lineRule="exact"/>
              <w:jc w:val="center"/>
              <w:rPr>
                <w:rFonts w:ascii="宋体" w:hAnsi="宋体"/>
                <w:szCs w:val="21"/>
              </w:rPr>
            </w:pPr>
            <w:r>
              <w:rPr>
                <w:rFonts w:hint="eastAsia" w:ascii="宋体" w:hAnsi="宋体"/>
                <w:szCs w:val="21"/>
              </w:rPr>
              <w:t xml:space="preserve"> 投标总价</w:t>
            </w:r>
          </w:p>
        </w:tc>
        <w:tc>
          <w:tcPr>
            <w:tcW w:w="6704" w:type="dxa"/>
            <w:vAlign w:val="center"/>
          </w:tcPr>
          <w:p>
            <w:pPr>
              <w:snapToGrid w:val="0"/>
              <w:spacing w:line="480" w:lineRule="auto"/>
              <w:ind w:firstLine="211" w:firstLineChars="100"/>
              <w:jc w:val="left"/>
              <w:rPr>
                <w:rFonts w:hint="eastAsia" w:ascii="宋体" w:hAnsi="宋体" w:eastAsia="宋体" w:cs="宋体"/>
                <w:b/>
                <w:bCs/>
                <w:u w:val="single"/>
                <w:lang w:val="en-US" w:eastAsia="zh-CN"/>
              </w:rPr>
            </w:pPr>
            <w:r>
              <w:rPr>
                <w:rFonts w:hint="eastAsia" w:ascii="宋体" w:hAnsi="宋体" w:cs="宋体"/>
                <w:b/>
                <w:bCs/>
              </w:rPr>
              <w:t>小 写：¥</w:t>
            </w:r>
            <w:r>
              <w:rPr>
                <w:rFonts w:hint="eastAsia" w:ascii="宋体" w:hAnsi="宋体" w:cs="宋体"/>
                <w:b/>
                <w:bCs/>
                <w:u w:val="single"/>
              </w:rPr>
              <w:t xml:space="preserve">                      </w:t>
            </w:r>
            <w:r>
              <w:rPr>
                <w:rFonts w:hint="eastAsia" w:ascii="宋体" w:hAnsi="宋体" w:cs="宋体"/>
                <w:b/>
                <w:bCs/>
              </w:rPr>
              <w:t>元</w:t>
            </w:r>
            <w:r>
              <w:rPr>
                <w:rFonts w:hint="eastAsia" w:ascii="宋体" w:hAnsi="宋体" w:cs="宋体"/>
                <w:b/>
                <w:bCs/>
                <w:lang w:val="en-US" w:eastAsia="zh-CN"/>
              </w:rPr>
              <w:t>/三年</w:t>
            </w:r>
          </w:p>
          <w:p>
            <w:pPr>
              <w:adjustRightInd w:val="0"/>
              <w:snapToGrid w:val="0"/>
              <w:spacing w:line="480" w:lineRule="auto"/>
              <w:rPr>
                <w:rFonts w:ascii="宋体" w:hAnsi="宋体"/>
                <w:szCs w:val="21"/>
              </w:rPr>
            </w:pPr>
            <w:r>
              <w:rPr>
                <w:rFonts w:hint="eastAsia" w:ascii="宋体" w:hAnsi="宋体" w:cs="宋体"/>
                <w:b/>
                <w:bCs/>
              </w:rPr>
              <w:t xml:space="preserve">  大 写：</w:t>
            </w:r>
            <w:r>
              <w:rPr>
                <w:rFonts w:hint="eastAsia" w:ascii="宋体" w:hAnsi="宋体" w:cs="宋体"/>
                <w:b/>
                <w:bCs/>
                <w:u w:val="single"/>
              </w:rPr>
              <w:t xml:space="preserve">人民币                 </w:t>
            </w:r>
            <w:r>
              <w:rPr>
                <w:rFonts w:hint="eastAsia" w:ascii="宋体" w:hAnsi="宋体" w:cs="宋体"/>
                <w:b/>
                <w:bCs/>
              </w:rPr>
              <w:t>元</w:t>
            </w:r>
            <w:r>
              <w:rPr>
                <w:rFonts w:hint="eastAsia" w:ascii="宋体" w:hAnsi="宋体" w:cs="宋体"/>
                <w:b/>
                <w:bCs/>
                <w:lang w:val="en-US" w:eastAsia="zh-CN"/>
              </w:rPr>
              <w:t>/三年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950" w:type="dxa"/>
            <w:gridSpan w:val="2"/>
            <w:vAlign w:val="center"/>
          </w:tcPr>
          <w:p>
            <w:pPr>
              <w:adjustRightInd w:val="0"/>
              <w:snapToGrid w:val="0"/>
              <w:spacing w:line="400" w:lineRule="exact"/>
              <w:rPr>
                <w:rFonts w:ascii="宋体" w:hAnsi="宋体"/>
                <w:b/>
                <w:szCs w:val="21"/>
              </w:rPr>
            </w:pPr>
            <w:r>
              <w:rPr>
                <w:rFonts w:hint="eastAsia" w:ascii="宋体" w:hAnsi="宋体"/>
                <w:b/>
                <w:szCs w:val="21"/>
              </w:rPr>
              <w:t>投标保证金：</w:t>
            </w:r>
          </w:p>
          <w:p>
            <w:pPr>
              <w:adjustRightInd w:val="0"/>
              <w:snapToGrid w:val="0"/>
              <w:spacing w:line="400" w:lineRule="exact"/>
              <w:rPr>
                <w:rFonts w:ascii="宋体" w:hAnsi="宋体"/>
                <w:szCs w:val="21"/>
              </w:rPr>
            </w:pPr>
            <w:r>
              <w:rPr>
                <w:rFonts w:hint="eastAsia" w:ascii="宋体" w:hAnsi="宋体"/>
                <w:szCs w:val="21"/>
              </w:rPr>
              <w:t>金额：</w:t>
            </w:r>
            <w:r>
              <w:rPr>
                <w:rFonts w:hint="eastAsia" w:ascii="宋体" w:hAnsi="宋体"/>
                <w:szCs w:val="21"/>
                <w:u w:val="single"/>
              </w:rPr>
              <w:t xml:space="preserve">                                      </w:t>
            </w:r>
            <w:r>
              <w:rPr>
                <w:rFonts w:hint="eastAsia" w:ascii="宋体" w:hAnsi="宋体"/>
                <w:szCs w:val="21"/>
              </w:rPr>
              <w:t xml:space="preserve"> </w:t>
            </w:r>
          </w:p>
          <w:p>
            <w:pPr>
              <w:spacing w:line="400" w:lineRule="exact"/>
              <w:ind w:left="1050" w:hanging="1050" w:hangingChars="500"/>
              <w:rPr>
                <w:rFonts w:ascii="宋体" w:hAnsi="宋体"/>
                <w:szCs w:val="21"/>
              </w:rPr>
            </w:pPr>
            <w:r>
              <w:rPr>
                <w:rFonts w:hint="eastAsia" w:ascii="宋体" w:hAnsi="宋体"/>
                <w:szCs w:val="21"/>
              </w:rPr>
              <w:t>交纳形式： □支票  □</w:t>
            </w:r>
            <w:r>
              <w:rPr>
                <w:rFonts w:hint="eastAsia" w:ascii="宋体" w:hAnsi="宋体"/>
                <w:szCs w:val="21"/>
                <w:lang w:eastAsia="zh-CN"/>
              </w:rPr>
              <w:t>汇款</w:t>
            </w:r>
            <w:r>
              <w:rPr>
                <w:rFonts w:hint="eastAsia" w:ascii="宋体" w:hAnsi="宋体"/>
                <w:szCs w:val="21"/>
              </w:rPr>
              <w:t xml:space="preserve">  □本票  □金融机构、担保机构出具的保函  □其他</w:t>
            </w:r>
          </w:p>
        </w:tc>
      </w:tr>
    </w:tbl>
    <w:p>
      <w:pPr>
        <w:adjustRightInd w:val="0"/>
        <w:snapToGrid w:val="0"/>
        <w:spacing w:line="360" w:lineRule="auto"/>
        <w:rPr>
          <w:rFonts w:ascii="宋体" w:hAnsi="宋体" w:cs="宋体"/>
          <w:szCs w:val="21"/>
        </w:rPr>
      </w:pPr>
      <w:r>
        <w:rPr>
          <w:rFonts w:hint="eastAsia" w:ascii="宋体" w:hAnsi="宋体" w:cs="宋体"/>
          <w:b/>
          <w:szCs w:val="21"/>
        </w:rPr>
        <w:t>备注：</w:t>
      </w:r>
      <w:r>
        <w:rPr>
          <w:rFonts w:hint="eastAsia" w:ascii="宋体" w:hAnsi="宋体" w:cs="宋体"/>
          <w:szCs w:val="21"/>
        </w:rPr>
        <w:t>（1）</w:t>
      </w:r>
      <w:r>
        <w:rPr>
          <w:rFonts w:hint="eastAsia" w:ascii="宋体" w:hAnsi="宋体" w:cs="宋体"/>
          <w:b/>
          <w:szCs w:val="21"/>
        </w:rPr>
        <w:t>本表须按包填写，一个“包号”一份</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（2）投标人在提交投标文件的截止时间前修改“开标一览表”中的投标报价的，应按</w:t>
      </w:r>
      <w:r>
        <w:rPr>
          <w:rFonts w:hint="eastAsia" w:ascii="宋体" w:hAnsi="宋体" w:cs="宋体"/>
          <w:szCs w:val="21"/>
          <w:lang w:eastAsia="zh-CN"/>
        </w:rPr>
        <w:t>采购</w:t>
      </w:r>
      <w:r>
        <w:rPr>
          <w:rFonts w:hint="eastAsia" w:ascii="宋体" w:hAnsi="宋体" w:cs="宋体"/>
          <w:szCs w:val="21"/>
        </w:rPr>
        <w:t>文件第二章第14.6款规定同时修改投标文件的其他相关内容。</w:t>
      </w:r>
    </w:p>
    <w:p>
      <w:pPr>
        <w:pStyle w:val="26"/>
        <w:widowControl/>
        <w:adjustRightInd w:val="0"/>
        <w:snapToGrid w:val="0"/>
        <w:spacing w:line="360" w:lineRule="auto"/>
        <w:ind w:firstLine="525" w:firstLineChars="250"/>
        <w:rPr>
          <w:rFonts w:hint="eastAsia" w:ascii="宋体" w:hAnsi="宋体" w:eastAsia="宋体" w:cs="宋体"/>
          <w:u w:val="none"/>
        </w:rPr>
      </w:pPr>
      <w:r>
        <w:rPr>
          <w:rFonts w:hint="eastAsia" w:ascii="宋体" w:hAnsi="宋体" w:eastAsia="宋体" w:cs="宋体"/>
          <w:u w:val="none"/>
          <w:lang w:eastAsia="zh-CN"/>
        </w:rPr>
        <w:t>（</w:t>
      </w:r>
      <w:r>
        <w:rPr>
          <w:rFonts w:hint="eastAsia" w:ascii="宋体" w:hAnsi="宋体" w:eastAsia="宋体" w:cs="宋体"/>
          <w:u w:val="none"/>
          <w:lang w:val="en-US" w:eastAsia="zh-CN"/>
        </w:rPr>
        <w:t>3</w:t>
      </w:r>
      <w:r>
        <w:rPr>
          <w:rFonts w:hint="eastAsia" w:ascii="宋体" w:hAnsi="宋体" w:eastAsia="宋体" w:cs="宋体"/>
          <w:u w:val="none"/>
          <w:lang w:eastAsia="zh-CN"/>
        </w:rPr>
        <w:t>）</w:t>
      </w:r>
      <w:r>
        <w:rPr>
          <w:rFonts w:hint="eastAsia" w:ascii="宋体" w:hAnsi="宋体" w:eastAsia="宋体" w:cs="宋体"/>
          <w:u w:val="none"/>
        </w:rPr>
        <w:t>此表保留在投标文件中，</w:t>
      </w:r>
      <w:r>
        <w:rPr>
          <w:rFonts w:hint="eastAsia" w:ascii="宋体" w:hAnsi="宋体" w:eastAsia="宋体" w:cs="宋体"/>
          <w:b/>
          <w:u w:val="none"/>
        </w:rPr>
        <w:t>另须单独用小信封密封封装1份作为公开唱标时用，并按规定密封。</w:t>
      </w:r>
    </w:p>
    <w:p>
      <w:pPr>
        <w:adjustRightInd w:val="0"/>
        <w:snapToGrid w:val="0"/>
        <w:spacing w:line="360" w:lineRule="auto"/>
        <w:ind w:firstLine="525" w:firstLineChars="250"/>
        <w:rPr>
          <w:rFonts w:hint="eastAsia" w:ascii="宋体" w:hAnsi="宋体" w:eastAsia="宋体" w:cs="宋体"/>
          <w:szCs w:val="21"/>
          <w:u w:val="none"/>
        </w:rPr>
      </w:pPr>
      <w:r>
        <w:rPr>
          <w:rFonts w:hint="eastAsia" w:ascii="宋体" w:hAnsi="宋体" w:eastAsia="宋体" w:cs="宋体"/>
          <w:szCs w:val="21"/>
          <w:u w:val="none"/>
          <w:lang w:eastAsia="zh-CN"/>
        </w:rPr>
        <w:t>（</w:t>
      </w:r>
      <w:r>
        <w:rPr>
          <w:rFonts w:hint="eastAsia" w:ascii="宋体" w:hAnsi="宋体" w:eastAsia="宋体" w:cs="宋体"/>
          <w:szCs w:val="21"/>
          <w:u w:val="none"/>
          <w:lang w:val="en-US" w:eastAsia="zh-CN"/>
        </w:rPr>
        <w:t>4</w:t>
      </w:r>
      <w:r>
        <w:rPr>
          <w:rFonts w:hint="eastAsia" w:ascii="宋体" w:hAnsi="宋体" w:eastAsia="宋体" w:cs="宋体"/>
          <w:szCs w:val="21"/>
          <w:u w:val="none"/>
          <w:lang w:eastAsia="zh-CN"/>
        </w:rPr>
        <w:t>）</w:t>
      </w:r>
      <w:r>
        <w:rPr>
          <w:rFonts w:hint="eastAsia" w:ascii="宋体" w:hAnsi="宋体" w:eastAsia="宋体" w:cs="宋体"/>
          <w:szCs w:val="21"/>
          <w:u w:val="none"/>
        </w:rPr>
        <w:t>投标人在参加政府采购活动过程中，不得无偿或低于所提供的货物、工程、服务的成本价格报价。</w:t>
      </w:r>
    </w:p>
    <w:p>
      <w:pPr>
        <w:adjustRightInd w:val="0"/>
        <w:snapToGrid w:val="0"/>
        <w:spacing w:line="360" w:lineRule="auto"/>
        <w:rPr>
          <w:rFonts w:ascii="宋体" w:hAnsi="宋体" w:cs="宋体"/>
          <w:color w:val="FF0000"/>
          <w:szCs w:val="21"/>
        </w:rPr>
      </w:pPr>
    </w:p>
    <w:p>
      <w:pPr>
        <w:adjustRightInd w:val="0"/>
        <w:snapToGrid w:val="0"/>
        <w:spacing w:line="360" w:lineRule="auto"/>
        <w:rPr>
          <w:rFonts w:ascii="宋体" w:hAnsi="宋体" w:cs="宋体"/>
          <w:szCs w:val="21"/>
        </w:rPr>
      </w:pPr>
      <w:r>
        <w:rPr>
          <w:rFonts w:hint="eastAsia" w:ascii="宋体" w:hAnsi="宋体" w:cs="宋体"/>
          <w:szCs w:val="21"/>
        </w:rPr>
        <w:t>投标人名称（盖单位章）：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法定代表人或其授权的代理人（签字或印章）：_</w:t>
      </w:r>
    </w:p>
    <w:p>
      <w:pPr>
        <w:adjustRightInd w:val="0"/>
        <w:snapToGrid w:val="0"/>
        <w:spacing w:line="360" w:lineRule="auto"/>
        <w:rPr>
          <w:rFonts w:ascii="宋体" w:hAnsi="宋体" w:cs="宋体"/>
          <w:szCs w:val="21"/>
        </w:rPr>
      </w:pPr>
      <w:r>
        <w:rPr>
          <w:rFonts w:hint="eastAsia" w:ascii="宋体" w:hAnsi="宋体" w:cs="宋体"/>
          <w:szCs w:val="21"/>
        </w:rPr>
        <w:t>日期：年月日</w:t>
      </w:r>
    </w:p>
    <w:p>
      <w:pPr>
        <w:widowControl/>
        <w:jc w:val="left"/>
        <w:rPr>
          <w:rFonts w:ascii="宋体" w:hAnsi="宋体" w:cs="宋体"/>
          <w:szCs w:val="21"/>
        </w:rPr>
      </w:pPr>
      <w:r>
        <w:rPr>
          <w:rFonts w:hint="eastAsia" w:ascii="宋体" w:hAnsi="宋体" w:cs="宋体"/>
          <w:szCs w:val="21"/>
        </w:rPr>
        <w:br w:type="page"/>
      </w:r>
    </w:p>
    <w:p>
      <w:pPr>
        <w:pStyle w:val="9"/>
        <w:adjustRightInd w:val="0"/>
        <w:snapToGrid w:val="0"/>
        <w:spacing w:before="0" w:after="0" w:line="360" w:lineRule="auto"/>
        <w:jc w:val="center"/>
        <w:rPr>
          <w:rFonts w:ascii="宋体" w:hAnsi="宋体" w:cs="宋体"/>
          <w:sz w:val="28"/>
          <w:szCs w:val="28"/>
        </w:rPr>
      </w:pPr>
      <w:bookmarkStart w:id="283" w:name="_Toc22417"/>
      <w:bookmarkStart w:id="284" w:name="_Toc6465"/>
      <w:r>
        <w:rPr>
          <w:rFonts w:hint="eastAsia" w:ascii="宋体" w:hAnsi="宋体" w:cs="宋体"/>
          <w:sz w:val="28"/>
          <w:szCs w:val="28"/>
        </w:rPr>
        <w:t>二、投标保证金</w:t>
      </w:r>
      <w:bookmarkEnd w:id="283"/>
      <w:bookmarkEnd w:id="284"/>
    </w:p>
    <w:p>
      <w:pPr>
        <w:adjustRightInd w:val="0"/>
        <w:snapToGrid w:val="0"/>
        <w:spacing w:before="156" w:beforeLines="50" w:line="360" w:lineRule="auto"/>
        <w:ind w:firstLine="420" w:firstLineChars="200"/>
        <w:jc w:val="left"/>
        <w:rPr>
          <w:rFonts w:ascii="宋体" w:hAnsi="宋体" w:cs="宋体"/>
          <w:szCs w:val="21"/>
        </w:rPr>
      </w:pP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提供付款凭证复印件。</w:t>
      </w:r>
    </w:p>
    <w:p>
      <w:pPr>
        <w:widowControl/>
        <w:jc w:val="left"/>
        <w:rPr>
          <w:rFonts w:ascii="宋体" w:hAnsi="宋体" w:cs="宋体"/>
          <w:color w:val="000000"/>
          <w:sz w:val="32"/>
          <w:szCs w:val="32"/>
        </w:rPr>
      </w:pPr>
      <w:r>
        <w:rPr>
          <w:rFonts w:hint="eastAsia" w:ascii="宋体" w:hAnsi="宋体" w:cs="宋体"/>
          <w:color w:val="000000"/>
          <w:sz w:val="32"/>
          <w:szCs w:val="32"/>
        </w:rPr>
        <w:br w:type="page"/>
      </w:r>
    </w:p>
    <w:p>
      <w:pPr>
        <w:pStyle w:val="9"/>
        <w:adjustRightInd w:val="0"/>
        <w:snapToGrid w:val="0"/>
        <w:spacing w:before="0" w:after="0" w:line="360" w:lineRule="auto"/>
        <w:jc w:val="center"/>
        <w:rPr>
          <w:rFonts w:ascii="宋体" w:hAnsi="宋体" w:cs="宋体"/>
          <w:sz w:val="28"/>
          <w:szCs w:val="28"/>
        </w:rPr>
      </w:pPr>
      <w:bookmarkStart w:id="285" w:name="_Toc25156"/>
      <w:bookmarkStart w:id="286" w:name="_Toc9967"/>
      <w:r>
        <w:rPr>
          <w:rFonts w:hint="eastAsia" w:ascii="宋体" w:hAnsi="宋体" w:cs="宋体"/>
          <w:sz w:val="28"/>
          <w:szCs w:val="28"/>
        </w:rPr>
        <w:t>三、法定代表人授权委托书</w:t>
      </w:r>
      <w:bookmarkEnd w:id="285"/>
      <w:bookmarkEnd w:id="286"/>
    </w:p>
    <w:p>
      <w:pPr>
        <w:autoSpaceDE w:val="0"/>
        <w:autoSpaceDN w:val="0"/>
        <w:adjustRightInd w:val="0"/>
        <w:snapToGrid w:val="0"/>
        <w:spacing w:line="360" w:lineRule="auto"/>
        <w:jc w:val="center"/>
        <w:rPr>
          <w:rFonts w:ascii="宋体" w:hAnsi="宋体" w:cs="宋体"/>
          <w:b/>
          <w:spacing w:val="6"/>
          <w:szCs w:val="21"/>
        </w:rPr>
      </w:pPr>
      <w:r>
        <w:rPr>
          <w:rFonts w:hint="eastAsia" w:ascii="宋体" w:hAnsi="宋体" w:cs="宋体"/>
          <w:b/>
          <w:spacing w:val="6"/>
          <w:szCs w:val="21"/>
        </w:rPr>
        <w:t>(自然人投标的无需提供)</w:t>
      </w:r>
    </w:p>
    <w:p>
      <w:pPr>
        <w:autoSpaceDE w:val="0"/>
        <w:autoSpaceDN w:val="0"/>
        <w:adjustRightInd w:val="0"/>
        <w:snapToGrid w:val="0"/>
        <w:spacing w:line="360" w:lineRule="auto"/>
        <w:ind w:firstLine="420" w:firstLineChars="200"/>
        <w:jc w:val="left"/>
        <w:rPr>
          <w:rFonts w:ascii="宋体" w:hAnsi="宋体" w:cs="宋体"/>
          <w:kern w:val="0"/>
          <w:szCs w:val="21"/>
        </w:rPr>
      </w:pP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本人（姓名、职务）系 （</w:t>
      </w:r>
      <w:r>
        <w:rPr>
          <w:rFonts w:hint="eastAsia" w:ascii="宋体" w:hAnsi="宋体" w:cs="宋体"/>
          <w:szCs w:val="21"/>
        </w:rPr>
        <w:t>投标人</w:t>
      </w:r>
      <w:r>
        <w:rPr>
          <w:rFonts w:hint="eastAsia" w:ascii="宋体" w:hAnsi="宋体" w:cs="宋体"/>
          <w:kern w:val="0"/>
          <w:szCs w:val="21"/>
        </w:rPr>
        <w:t>名称）的法定代表人，现授权（姓名、职务）为我方代理人。代理人根据授权，以我方名义签署、澄清、说明、补正、递交、撤回、修改（项目名称）（</w:t>
      </w:r>
      <w:r>
        <w:rPr>
          <w:rFonts w:hint="eastAsia" w:ascii="宋体" w:hAnsi="宋体" w:cs="宋体"/>
        </w:rPr>
        <w:t>政府</w:t>
      </w:r>
      <w:r>
        <w:rPr>
          <w:rFonts w:hint="eastAsia" w:ascii="宋体" w:hAnsi="宋体" w:cs="宋体"/>
          <w:iCs/>
        </w:rPr>
        <w:t>采购编号： ，</w:t>
      </w:r>
      <w:r>
        <w:rPr>
          <w:rFonts w:hint="eastAsia" w:ascii="宋体" w:hAnsi="宋体" w:cs="宋体"/>
          <w:kern w:val="0"/>
          <w:szCs w:val="21"/>
        </w:rPr>
        <w:t>采购代理编号：）投标文件、签订合同和处理有关事宜，其法律后果由我方承担。</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委托期限： 。</w:t>
      </w:r>
    </w:p>
    <w:p>
      <w:pPr>
        <w:adjustRightInd w:val="0"/>
        <w:snapToGrid w:val="0"/>
        <w:spacing w:line="360" w:lineRule="auto"/>
        <w:ind w:firstLine="435"/>
        <w:rPr>
          <w:rFonts w:ascii="宋体" w:hAnsi="宋体" w:cs="宋体"/>
          <w:kern w:val="0"/>
          <w:szCs w:val="21"/>
        </w:rPr>
      </w:pPr>
      <w:r>
        <w:rPr>
          <w:rFonts w:hint="eastAsia" w:ascii="宋体" w:hAnsi="宋体" w:cs="宋体"/>
          <w:kern w:val="0"/>
          <w:szCs w:val="21"/>
        </w:rPr>
        <w:t>代理人无转委托权。</w:t>
      </w:r>
    </w:p>
    <w:p>
      <w:pPr>
        <w:adjustRightInd w:val="0"/>
        <w:snapToGrid w:val="0"/>
        <w:spacing w:line="360" w:lineRule="auto"/>
        <w:ind w:firstLine="435"/>
        <w:rPr>
          <w:rFonts w:ascii="宋体" w:hAnsi="宋体" w:cs="宋体"/>
          <w:szCs w:val="21"/>
        </w:rPr>
      </w:pPr>
      <w:r>
        <w:rPr>
          <w:rFonts w:hint="eastAsia" w:ascii="宋体" w:hAnsi="宋体" w:cs="宋体"/>
          <w:szCs w:val="21"/>
        </w:rPr>
        <w:t>本授权书于年月日签字生效，特此声明。</w:t>
      </w:r>
    </w:p>
    <w:p>
      <w:pPr>
        <w:adjustRightInd w:val="0"/>
        <w:snapToGrid w:val="0"/>
        <w:spacing w:line="360" w:lineRule="auto"/>
        <w:ind w:firstLine="420" w:firstLineChars="200"/>
        <w:rPr>
          <w:rFonts w:ascii="宋体" w:hAnsi="宋体" w:cs="宋体"/>
          <w:szCs w:val="21"/>
        </w:rPr>
      </w:pPr>
    </w:p>
    <w:tbl>
      <w:tblPr>
        <w:tblStyle w:val="47"/>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278" w:type="dxa"/>
            <w:shd w:val="clear" w:color="auto" w:fill="auto"/>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委托代理人身份证（正面、反面）复印件</w:t>
            </w:r>
          </w:p>
        </w:tc>
      </w:tr>
    </w:tbl>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投标人名称（盖单位章）：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法定代表人（签字或印章）：</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委托代理人（签字或印章）：</w:t>
      </w:r>
    </w:p>
    <w:p>
      <w:pPr>
        <w:adjustRightInd w:val="0"/>
        <w:snapToGrid w:val="0"/>
        <w:spacing w:line="360" w:lineRule="auto"/>
        <w:ind w:right="420"/>
        <w:rPr>
          <w:rFonts w:ascii="宋体" w:hAnsi="宋体" w:cs="宋体"/>
          <w:szCs w:val="21"/>
        </w:rPr>
      </w:pPr>
      <w:r>
        <w:rPr>
          <w:rFonts w:hint="eastAsia" w:ascii="宋体" w:hAnsi="宋体" w:cs="宋体"/>
          <w:szCs w:val="21"/>
        </w:rPr>
        <w:t>日期：年月日</w:t>
      </w:r>
    </w:p>
    <w:p>
      <w:pPr>
        <w:adjustRightInd w:val="0"/>
        <w:snapToGrid w:val="0"/>
        <w:spacing w:line="360" w:lineRule="auto"/>
        <w:jc w:val="left"/>
        <w:rPr>
          <w:rFonts w:ascii="宋体" w:hAnsi="宋体" w:cs="宋体"/>
          <w:bCs/>
          <w:sz w:val="28"/>
          <w:szCs w:val="28"/>
        </w:rPr>
      </w:pPr>
      <w:r>
        <w:rPr>
          <w:rFonts w:hint="eastAsia" w:ascii="宋体" w:hAnsi="宋体" w:cs="宋体"/>
          <w:bCs/>
          <w:sz w:val="28"/>
          <w:szCs w:val="28"/>
        </w:rPr>
        <w:br w:type="page"/>
      </w:r>
    </w:p>
    <w:p>
      <w:pPr>
        <w:pStyle w:val="9"/>
        <w:adjustRightInd w:val="0"/>
        <w:snapToGrid w:val="0"/>
        <w:spacing w:before="0" w:after="0" w:line="360" w:lineRule="auto"/>
        <w:jc w:val="center"/>
        <w:rPr>
          <w:rFonts w:ascii="宋体" w:hAnsi="宋体" w:cs="宋体"/>
          <w:sz w:val="28"/>
          <w:szCs w:val="28"/>
        </w:rPr>
      </w:pPr>
      <w:bookmarkStart w:id="287" w:name="_Toc5127"/>
      <w:bookmarkStart w:id="288" w:name="_Toc9525"/>
      <w:r>
        <w:rPr>
          <w:rFonts w:hint="eastAsia" w:ascii="宋体" w:hAnsi="宋体" w:cs="宋体"/>
          <w:sz w:val="28"/>
          <w:szCs w:val="28"/>
        </w:rPr>
        <w:t>四、投标人提供的资格证明文件</w:t>
      </w:r>
      <w:bookmarkEnd w:id="287"/>
      <w:bookmarkEnd w:id="288"/>
      <w:bookmarkStart w:id="289" w:name="_Toc294186060"/>
      <w:bookmarkStart w:id="290" w:name="_Toc294206743"/>
    </w:p>
    <w:p>
      <w:pPr>
        <w:pStyle w:val="26"/>
        <w:adjustRightInd w:val="0"/>
        <w:snapToGrid w:val="0"/>
        <w:spacing w:line="360" w:lineRule="auto"/>
        <w:jc w:val="center"/>
        <w:rPr>
          <w:rFonts w:hAnsi="宋体" w:cs="宋体"/>
          <w:b/>
          <w:bCs/>
          <w:sz w:val="24"/>
          <w:szCs w:val="24"/>
        </w:rPr>
      </w:pPr>
    </w:p>
    <w:p>
      <w:pPr>
        <w:pStyle w:val="26"/>
        <w:adjustRightInd w:val="0"/>
        <w:snapToGrid w:val="0"/>
        <w:spacing w:line="360" w:lineRule="auto"/>
        <w:jc w:val="center"/>
        <w:rPr>
          <w:rFonts w:hAnsi="宋体" w:cs="宋体"/>
          <w:b/>
          <w:bCs/>
          <w:sz w:val="28"/>
          <w:szCs w:val="28"/>
        </w:rPr>
      </w:pPr>
      <w:r>
        <w:rPr>
          <w:rFonts w:hint="eastAsia" w:hAnsi="宋体" w:cs="宋体"/>
          <w:b/>
          <w:bCs/>
          <w:sz w:val="28"/>
          <w:szCs w:val="28"/>
        </w:rPr>
        <w:t>须  知</w:t>
      </w:r>
    </w:p>
    <w:p>
      <w:pPr>
        <w:tabs>
          <w:tab w:val="left" w:pos="4725"/>
        </w:tabs>
        <w:adjustRightInd w:val="0"/>
        <w:snapToGrid w:val="0"/>
        <w:spacing w:before="156" w:beforeLines="50" w:line="360" w:lineRule="auto"/>
        <w:ind w:firstLine="422" w:firstLineChars="200"/>
        <w:rPr>
          <w:rFonts w:ascii="宋体" w:hAnsi="宋体" w:cs="宋体"/>
          <w:b/>
          <w:bCs/>
          <w:szCs w:val="21"/>
        </w:rPr>
      </w:pPr>
      <w:r>
        <w:rPr>
          <w:rFonts w:hint="eastAsia" w:ascii="宋体" w:hAnsi="宋体" w:cs="宋体"/>
          <w:b/>
          <w:szCs w:val="21"/>
        </w:rPr>
        <w:t>1、投标人</w:t>
      </w:r>
      <w:r>
        <w:rPr>
          <w:rFonts w:hint="eastAsia" w:ascii="宋体" w:hAnsi="宋体" w:cs="宋体"/>
          <w:b/>
          <w:bCs/>
          <w:szCs w:val="21"/>
        </w:rPr>
        <w:t>应按第二章第15.1款要求提供下列的证明材料</w:t>
      </w:r>
    </w:p>
    <w:p>
      <w:pPr>
        <w:tabs>
          <w:tab w:val="left" w:pos="4725"/>
        </w:tabs>
        <w:adjustRightInd w:val="0"/>
        <w:snapToGrid w:val="0"/>
        <w:spacing w:before="156" w:beforeLines="50" w:line="360" w:lineRule="auto"/>
        <w:ind w:firstLine="735" w:firstLineChars="350"/>
        <w:rPr>
          <w:rFonts w:ascii="宋体" w:hAnsi="宋体" w:cs="宋体"/>
          <w:szCs w:val="21"/>
        </w:rPr>
      </w:pPr>
      <w:r>
        <w:rPr>
          <w:rFonts w:hint="eastAsia" w:ascii="宋体" w:hAnsi="宋体" w:cs="宋体"/>
          <w:szCs w:val="21"/>
        </w:rPr>
        <w:t>附件4-1投标人资格声明(格式)</w:t>
      </w:r>
    </w:p>
    <w:p>
      <w:pPr>
        <w:tabs>
          <w:tab w:val="left" w:pos="4725"/>
        </w:tabs>
        <w:adjustRightInd w:val="0"/>
        <w:snapToGrid w:val="0"/>
        <w:spacing w:before="156" w:beforeLines="50" w:line="360" w:lineRule="auto"/>
        <w:ind w:firstLine="735" w:firstLineChars="350"/>
        <w:rPr>
          <w:rFonts w:ascii="宋体" w:hAnsi="宋体" w:cs="宋体"/>
          <w:szCs w:val="21"/>
        </w:rPr>
      </w:pPr>
      <w:r>
        <w:rPr>
          <w:rFonts w:hint="eastAsia" w:ascii="宋体" w:hAnsi="宋体" w:cs="宋体"/>
          <w:szCs w:val="21"/>
        </w:rPr>
        <w:t>附件4-2 法人或者其他组织的营业执照等主体资格证明文件，自然人的身份证明</w:t>
      </w:r>
    </w:p>
    <w:p>
      <w:pPr>
        <w:tabs>
          <w:tab w:val="left" w:pos="4725"/>
        </w:tabs>
        <w:adjustRightInd w:val="0"/>
        <w:snapToGrid w:val="0"/>
        <w:spacing w:before="156" w:beforeLines="50" w:line="360" w:lineRule="auto"/>
        <w:ind w:firstLine="735" w:firstLineChars="350"/>
        <w:rPr>
          <w:rFonts w:ascii="宋体" w:hAnsi="宋体" w:cs="宋体"/>
          <w:szCs w:val="21"/>
        </w:rPr>
      </w:pPr>
      <w:r>
        <w:rPr>
          <w:rFonts w:hint="eastAsia" w:ascii="宋体" w:hAnsi="宋体" w:cs="宋体"/>
          <w:szCs w:val="21"/>
        </w:rPr>
        <w:t>附件4-3 符合特定资格条件证明材料复印件或者情况说明</w:t>
      </w:r>
    </w:p>
    <w:p>
      <w:pPr>
        <w:tabs>
          <w:tab w:val="left" w:pos="4725"/>
        </w:tabs>
        <w:adjustRightInd w:val="0"/>
        <w:snapToGrid w:val="0"/>
        <w:spacing w:line="360" w:lineRule="auto"/>
        <w:rPr>
          <w:rFonts w:ascii="宋体" w:hAnsi="宋体" w:cs="宋体"/>
          <w:szCs w:val="21"/>
        </w:rPr>
      </w:pPr>
    </w:p>
    <w:p>
      <w:pPr>
        <w:widowControl/>
        <w:adjustRightInd w:val="0"/>
        <w:snapToGrid w:val="0"/>
        <w:spacing w:line="360" w:lineRule="auto"/>
        <w:jc w:val="left"/>
        <w:rPr>
          <w:rFonts w:ascii="宋体" w:hAnsi="宋体" w:cs="宋体"/>
          <w:szCs w:val="21"/>
        </w:rPr>
      </w:pPr>
      <w:r>
        <w:rPr>
          <w:rFonts w:hint="eastAsia" w:ascii="宋体" w:hAnsi="宋体" w:cs="宋体"/>
          <w:szCs w:val="21"/>
        </w:rPr>
        <w:br w:type="page"/>
      </w:r>
    </w:p>
    <w:p>
      <w:pPr>
        <w:pStyle w:val="10"/>
        <w:adjustRightInd w:val="0"/>
        <w:snapToGrid w:val="0"/>
        <w:spacing w:before="156" w:beforeLines="50" w:after="0" w:line="360" w:lineRule="auto"/>
        <w:rPr>
          <w:rFonts w:ascii="宋体" w:hAnsi="宋体" w:eastAsia="宋体" w:cs="宋体"/>
          <w:b w:val="0"/>
          <w:sz w:val="21"/>
          <w:szCs w:val="21"/>
        </w:rPr>
      </w:pPr>
      <w:bookmarkStart w:id="291" w:name="_Toc6810"/>
      <w:r>
        <w:rPr>
          <w:rFonts w:hint="eastAsia" w:ascii="宋体" w:hAnsi="宋体" w:eastAsia="宋体" w:cs="宋体"/>
          <w:b w:val="0"/>
          <w:sz w:val="21"/>
          <w:szCs w:val="21"/>
        </w:rPr>
        <w:t>附件4-1投标人资格声明(格式)</w:t>
      </w:r>
      <w:bookmarkEnd w:id="291"/>
    </w:p>
    <w:p>
      <w:pPr>
        <w:widowControl/>
        <w:adjustRightInd w:val="0"/>
        <w:snapToGrid w:val="0"/>
        <w:spacing w:before="156" w:beforeLines="50" w:line="360" w:lineRule="auto"/>
        <w:jc w:val="center"/>
        <w:rPr>
          <w:rFonts w:ascii="宋体" w:hAnsi="宋体" w:cs="宋体"/>
          <w:szCs w:val="21"/>
        </w:rPr>
      </w:pPr>
      <w:r>
        <w:rPr>
          <w:rFonts w:hint="eastAsia" w:ascii="宋体" w:hAnsi="宋体" w:cs="宋体"/>
          <w:b/>
          <w:sz w:val="28"/>
          <w:szCs w:val="28"/>
        </w:rPr>
        <w:t>投标人资格声明(格式)</w:t>
      </w:r>
    </w:p>
    <w:p>
      <w:pPr>
        <w:widowControl/>
        <w:adjustRightInd w:val="0"/>
        <w:snapToGrid w:val="0"/>
        <w:spacing w:before="156" w:beforeLines="50" w:line="360" w:lineRule="auto"/>
        <w:jc w:val="left"/>
        <w:rPr>
          <w:rFonts w:ascii="宋体" w:hAnsi="宋体" w:cs="宋体"/>
          <w:kern w:val="0"/>
          <w:szCs w:val="21"/>
        </w:rPr>
      </w:pPr>
      <w:r>
        <w:rPr>
          <w:rFonts w:hint="eastAsia" w:ascii="宋体" w:hAnsi="宋体" w:cs="宋体"/>
          <w:szCs w:val="21"/>
        </w:rPr>
        <w:t>致(采购人或者采购代理机构)：</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按照《中华人民共和国政府采购法》第二十二条和</w:t>
      </w:r>
      <w:r>
        <w:rPr>
          <w:rFonts w:hint="eastAsia" w:ascii="宋体" w:hAnsi="宋体" w:cs="宋体"/>
          <w:szCs w:val="21"/>
          <w:lang w:eastAsia="zh-CN"/>
        </w:rPr>
        <w:t>采购</w:t>
      </w:r>
      <w:r>
        <w:rPr>
          <w:rFonts w:hint="eastAsia" w:ascii="宋体" w:hAnsi="宋体" w:cs="宋体"/>
          <w:szCs w:val="21"/>
        </w:rPr>
        <w:t>文件的规定，我单位郑重声明如下：</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一、我单位是按照中华人民共和国法律规定登记注册的，注册地点为  ，全称为  ，统一社会信用代码为   ，法定代表人为   ，具有独立承担民事责任的能力。</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二、我单位具有良好的商业信誉和健全的财务会计制度。</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三、我</w:t>
      </w:r>
      <w:r>
        <w:rPr>
          <w:rFonts w:hint="eastAsia" w:ascii="宋体" w:hAnsi="宋体" w:cs="宋体"/>
          <w:szCs w:val="21"/>
        </w:rPr>
        <w:t>单位</w:t>
      </w:r>
      <w:r>
        <w:rPr>
          <w:rFonts w:hint="eastAsia" w:ascii="宋体" w:hAnsi="宋体" w:cs="宋体"/>
          <w:kern w:val="0"/>
          <w:szCs w:val="21"/>
        </w:rPr>
        <w:t>依法进行纳税和社会保险申报并实际履行了义务。</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四、</w:t>
      </w:r>
      <w:r>
        <w:rPr>
          <w:rFonts w:hint="eastAsia" w:ascii="宋体" w:hAnsi="宋体" w:cs="宋体"/>
          <w:szCs w:val="21"/>
        </w:rPr>
        <w:t>我单位具有履行本项目采购合同所必需的设备和专业技术能力。</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五、我单位在参加采购项目政府采购活动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六、我单位未因违法经营被政府采购监管部门禁止参加政府采购活动（禁止期限已经届满的除外）。</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七、我单位具备法律、行政法规规定的其他条件。</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kern w:val="0"/>
          <w:szCs w:val="21"/>
        </w:rPr>
        <w:t>八、</w:t>
      </w:r>
      <w:r>
        <w:rPr>
          <w:rFonts w:hint="eastAsia" w:ascii="宋体" w:hAnsi="宋体" w:cs="宋体"/>
          <w:szCs w:val="21"/>
        </w:rPr>
        <w:t>与我单位存在“单位负责人为同一人或者存在直接控股、管理关系”的其他法人单位信息如下（如无，填写“无”）：</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1、与我单位的法定代表人（单位负责人）为同一人的其他法人单位如下：</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2、我单位直接控股的其他法人单位如下：</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3、与我单位存在管理关系的其他法人单位如下：</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九、我单位不属于为本项目提供整体设计、规范编制或者项目管理、监理、检测等服务的投标人。</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十、我单位无以下不良信用记录情形：</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1、在“信用中国”网站被列入失信被执行人和重大税收违法案件当事人名单；</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2、在“中国政府采购网”网站被列入政府采购严重违法失信行为记录名单；</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3、不符合《政府采购法》第二十二条规定的条件。</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我单位保证上述声明的事项都是真实的，如有虚假，我单位愿意承担相应的法律责任，并承担因此所造成的一切损失。</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我单位保证随时按照要求提供能够证明上述声明事项真实性的任何有效文件。</w:t>
      </w:r>
    </w:p>
    <w:p>
      <w:pPr>
        <w:widowControl/>
        <w:adjustRightInd w:val="0"/>
        <w:snapToGrid w:val="0"/>
        <w:spacing w:before="156" w:beforeLines="50" w:line="360" w:lineRule="auto"/>
        <w:jc w:val="left"/>
        <w:rPr>
          <w:rFonts w:ascii="宋体" w:hAnsi="宋体" w:cs="宋体"/>
          <w:szCs w:val="21"/>
        </w:rPr>
      </w:pPr>
    </w:p>
    <w:p>
      <w:pPr>
        <w:widowControl/>
        <w:adjustRightInd w:val="0"/>
        <w:snapToGrid w:val="0"/>
        <w:spacing w:before="156" w:beforeLines="50" w:line="360" w:lineRule="auto"/>
        <w:jc w:val="left"/>
        <w:rPr>
          <w:rFonts w:ascii="宋体" w:hAnsi="宋体" w:cs="宋体"/>
          <w:szCs w:val="21"/>
        </w:rPr>
      </w:pPr>
    </w:p>
    <w:p>
      <w:pPr>
        <w:widowControl/>
        <w:adjustRightInd w:val="0"/>
        <w:snapToGrid w:val="0"/>
        <w:spacing w:before="156" w:beforeLines="50" w:line="360" w:lineRule="auto"/>
        <w:jc w:val="left"/>
        <w:rPr>
          <w:rFonts w:ascii="宋体" w:hAnsi="宋体" w:cs="宋体"/>
          <w:kern w:val="0"/>
          <w:szCs w:val="21"/>
        </w:rPr>
      </w:pPr>
      <w:r>
        <w:rPr>
          <w:rFonts w:hint="eastAsia" w:ascii="宋体" w:hAnsi="宋体" w:cs="宋体"/>
          <w:szCs w:val="21"/>
        </w:rPr>
        <w:t>投标人名称（盖单位公章）：</w:t>
      </w:r>
    </w:p>
    <w:p>
      <w:pPr>
        <w:widowControl/>
        <w:adjustRightInd w:val="0"/>
        <w:snapToGrid w:val="0"/>
        <w:spacing w:before="156" w:beforeLines="50" w:line="360" w:lineRule="auto"/>
        <w:jc w:val="left"/>
        <w:rPr>
          <w:rFonts w:ascii="宋体" w:hAnsi="宋体" w:cs="宋体"/>
          <w:b/>
          <w:bCs/>
          <w:kern w:val="0"/>
          <w:sz w:val="44"/>
          <w:szCs w:val="44"/>
        </w:rPr>
      </w:pPr>
      <w:r>
        <w:rPr>
          <w:rFonts w:hint="eastAsia" w:ascii="宋体" w:hAnsi="宋体" w:cs="宋体"/>
        </w:rPr>
        <w:t>法定代表人或委托代理人：（签字或印章）</w:t>
      </w:r>
    </w:p>
    <w:p>
      <w:pPr>
        <w:widowControl/>
        <w:adjustRightInd w:val="0"/>
        <w:snapToGrid w:val="0"/>
        <w:spacing w:before="156" w:beforeLines="50" w:line="360" w:lineRule="auto"/>
        <w:jc w:val="left"/>
        <w:rPr>
          <w:rFonts w:ascii="宋体" w:hAnsi="宋体" w:cs="宋体"/>
          <w:szCs w:val="21"/>
        </w:rPr>
      </w:pPr>
      <w:r>
        <w:rPr>
          <w:rFonts w:hint="eastAsia" w:ascii="宋体" w:hAnsi="宋体" w:cs="宋体"/>
          <w:szCs w:val="21"/>
        </w:rPr>
        <w:t>日期：年月日</w:t>
      </w:r>
    </w:p>
    <w:p>
      <w:pPr>
        <w:widowControl/>
        <w:jc w:val="left"/>
        <w:rPr>
          <w:rFonts w:ascii="宋体" w:hAnsi="宋体" w:cs="宋体"/>
          <w:bCs/>
          <w:szCs w:val="21"/>
        </w:rPr>
      </w:pPr>
      <w:r>
        <w:rPr>
          <w:rFonts w:hint="eastAsia" w:ascii="宋体" w:hAnsi="宋体" w:cs="宋体"/>
          <w:b/>
          <w:szCs w:val="21"/>
        </w:rPr>
        <w:br w:type="page"/>
      </w:r>
    </w:p>
    <w:p>
      <w:pPr>
        <w:pStyle w:val="10"/>
        <w:rPr>
          <w:rFonts w:ascii="宋体" w:hAnsi="宋体" w:eastAsia="宋体" w:cs="宋体"/>
          <w:b w:val="0"/>
          <w:sz w:val="21"/>
          <w:szCs w:val="21"/>
        </w:rPr>
      </w:pPr>
      <w:bookmarkStart w:id="292" w:name="_Toc16123"/>
      <w:r>
        <w:rPr>
          <w:rFonts w:hint="eastAsia" w:ascii="宋体" w:hAnsi="宋体" w:eastAsia="宋体" w:cs="宋体"/>
          <w:b w:val="0"/>
          <w:sz w:val="21"/>
          <w:szCs w:val="21"/>
        </w:rPr>
        <w:t>附件4-2 法人或者其他组织的营业执照等主体资格证明文件，自然人的身份证明</w:t>
      </w:r>
      <w:bookmarkEnd w:id="292"/>
    </w:p>
    <w:p>
      <w:pPr>
        <w:widowControl/>
        <w:adjustRightInd w:val="0"/>
        <w:snapToGrid w:val="0"/>
        <w:spacing w:line="360" w:lineRule="auto"/>
        <w:jc w:val="center"/>
        <w:rPr>
          <w:rFonts w:ascii="宋体" w:hAnsi="宋体" w:cs="宋体"/>
          <w:b/>
          <w:sz w:val="28"/>
          <w:szCs w:val="28"/>
        </w:rPr>
      </w:pPr>
      <w:r>
        <w:rPr>
          <w:rFonts w:hint="eastAsia" w:ascii="宋体" w:hAnsi="宋体" w:cs="宋体"/>
          <w:b/>
          <w:sz w:val="28"/>
          <w:szCs w:val="28"/>
        </w:rPr>
        <w:t>法人或者其他组织的营业执照等主体资格证明文件，自然人的身份证明</w:t>
      </w:r>
    </w:p>
    <w:p>
      <w:pPr>
        <w:widowControl/>
        <w:adjustRightInd w:val="0"/>
        <w:snapToGrid w:val="0"/>
        <w:spacing w:before="156" w:beforeLines="50" w:line="360" w:lineRule="auto"/>
        <w:ind w:firstLine="420" w:firstLineChars="200"/>
        <w:jc w:val="left"/>
        <w:rPr>
          <w:rFonts w:ascii="宋体" w:hAnsi="宋体" w:cs="宋体"/>
          <w:szCs w:val="21"/>
        </w:rPr>
      </w:pP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注：按第二章第15.1（1）项要求提供。</w:t>
      </w:r>
    </w:p>
    <w:p>
      <w:pPr>
        <w:adjustRightInd w:val="0"/>
        <w:snapToGrid w:val="0"/>
        <w:spacing w:before="156" w:beforeLines="50" w:line="360" w:lineRule="auto"/>
        <w:ind w:firstLine="420" w:firstLineChars="200"/>
        <w:rPr>
          <w:rFonts w:ascii="宋体" w:hAnsi="宋体" w:cs="宋体"/>
        </w:rPr>
      </w:pPr>
      <w:r>
        <w:rPr>
          <w:rFonts w:hint="eastAsia" w:ascii="宋体" w:hAnsi="宋体" w:cs="宋体"/>
          <w:szCs w:val="21"/>
        </w:rPr>
        <w:t>（1）</w:t>
      </w:r>
      <w:r>
        <w:rPr>
          <w:rFonts w:hint="eastAsia" w:ascii="宋体" w:hAnsi="宋体" w:cs="宋体"/>
        </w:rPr>
        <w:t>投标人为营利法人的，应提交营业执照的复印件；</w:t>
      </w:r>
    </w:p>
    <w:p>
      <w:pPr>
        <w:adjustRightInd w:val="0"/>
        <w:snapToGrid w:val="0"/>
        <w:spacing w:before="156" w:beforeLines="50" w:line="360" w:lineRule="auto"/>
        <w:ind w:firstLine="420" w:firstLineChars="200"/>
        <w:rPr>
          <w:rFonts w:ascii="宋体" w:hAnsi="宋体" w:cs="宋体"/>
        </w:rPr>
      </w:pPr>
      <w:r>
        <w:rPr>
          <w:rFonts w:hint="eastAsia" w:ascii="宋体" w:hAnsi="宋体" w:cs="宋体"/>
          <w:szCs w:val="21"/>
        </w:rPr>
        <w:t>（2）</w:t>
      </w:r>
      <w:r>
        <w:rPr>
          <w:rFonts w:hint="eastAsia" w:ascii="宋体" w:hAnsi="宋体" w:cs="宋体"/>
        </w:rPr>
        <w:t>投标人为依法允许经营的事业单位的，应提交事业单位法人证书复印件；</w:t>
      </w:r>
    </w:p>
    <w:p>
      <w:pPr>
        <w:adjustRightInd w:val="0"/>
        <w:snapToGrid w:val="0"/>
        <w:spacing w:before="156" w:beforeLines="50" w:line="360" w:lineRule="auto"/>
        <w:ind w:firstLine="420" w:firstLineChars="200"/>
        <w:rPr>
          <w:rFonts w:ascii="宋体" w:hAnsi="宋体" w:cs="宋体"/>
        </w:rPr>
      </w:pPr>
      <w:r>
        <w:rPr>
          <w:rFonts w:hint="eastAsia" w:ascii="宋体" w:hAnsi="宋体" w:cs="宋体"/>
          <w:szCs w:val="21"/>
        </w:rPr>
        <w:t>（3）</w:t>
      </w:r>
      <w:r>
        <w:rPr>
          <w:rFonts w:hint="eastAsia" w:ascii="宋体" w:hAnsi="宋体" w:cs="宋体"/>
        </w:rPr>
        <w:t>投标人为非法人组织的，应提交依法登记证书复印件；</w:t>
      </w:r>
    </w:p>
    <w:p>
      <w:pPr>
        <w:adjustRightInd w:val="0"/>
        <w:snapToGrid w:val="0"/>
        <w:spacing w:before="156" w:beforeLines="50" w:line="360" w:lineRule="auto"/>
        <w:ind w:firstLine="420" w:firstLineChars="200"/>
        <w:rPr>
          <w:rFonts w:ascii="宋体" w:hAnsi="宋体" w:cs="宋体"/>
        </w:rPr>
      </w:pPr>
      <w:r>
        <w:rPr>
          <w:rFonts w:hint="eastAsia" w:ascii="宋体" w:hAnsi="宋体" w:cs="宋体"/>
          <w:szCs w:val="21"/>
        </w:rPr>
        <w:t>（4）</w:t>
      </w:r>
      <w:r>
        <w:rPr>
          <w:rFonts w:hint="eastAsia" w:ascii="宋体" w:hAnsi="宋体" w:cs="宋体"/>
        </w:rPr>
        <w:t>投标人为个体工商户的，应提交个体工商户营业执照复印件；</w:t>
      </w:r>
    </w:p>
    <w:p>
      <w:pPr>
        <w:adjustRightInd w:val="0"/>
        <w:snapToGrid w:val="0"/>
        <w:spacing w:before="156" w:beforeLines="50" w:line="360" w:lineRule="auto"/>
        <w:ind w:firstLine="420" w:firstLineChars="200"/>
        <w:rPr>
          <w:rFonts w:ascii="宋体" w:hAnsi="宋体" w:cs="宋体"/>
        </w:rPr>
      </w:pPr>
      <w:r>
        <w:rPr>
          <w:rFonts w:hint="eastAsia" w:ascii="宋体" w:hAnsi="宋体" w:cs="宋体"/>
          <w:szCs w:val="21"/>
        </w:rPr>
        <w:t>（5）</w:t>
      </w:r>
      <w:r>
        <w:rPr>
          <w:rFonts w:hint="eastAsia" w:ascii="宋体" w:hAnsi="宋体" w:cs="宋体"/>
        </w:rPr>
        <w:t>投标人为自然人的，应提交自然人的身份证明复印件。</w:t>
      </w:r>
    </w:p>
    <w:p>
      <w:pPr>
        <w:widowControl/>
        <w:adjustRightInd w:val="0"/>
        <w:snapToGrid w:val="0"/>
        <w:spacing w:before="156" w:beforeLines="50" w:line="360" w:lineRule="auto"/>
        <w:ind w:firstLine="422" w:firstLineChars="200"/>
        <w:jc w:val="left"/>
        <w:rPr>
          <w:rFonts w:ascii="宋体" w:hAnsi="宋体" w:cs="宋体"/>
          <w:b/>
          <w:color w:val="FF0000"/>
        </w:rPr>
      </w:pPr>
    </w:p>
    <w:p>
      <w:pPr>
        <w:widowControl/>
        <w:adjustRightInd w:val="0"/>
        <w:snapToGrid w:val="0"/>
        <w:spacing w:before="156" w:beforeLines="50" w:line="360" w:lineRule="auto"/>
        <w:ind w:firstLine="420" w:firstLineChars="200"/>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br w:type="page"/>
      </w:r>
    </w:p>
    <w:p>
      <w:pPr>
        <w:pStyle w:val="10"/>
        <w:rPr>
          <w:rFonts w:ascii="宋体" w:hAnsi="宋体" w:eastAsia="宋体" w:cs="宋体"/>
          <w:b w:val="0"/>
          <w:sz w:val="21"/>
          <w:szCs w:val="21"/>
        </w:rPr>
      </w:pPr>
      <w:bookmarkStart w:id="293" w:name="_Toc1145"/>
      <w:r>
        <w:rPr>
          <w:rFonts w:hint="eastAsia" w:ascii="宋体" w:hAnsi="宋体" w:eastAsia="宋体" w:cs="宋体"/>
          <w:b w:val="0"/>
          <w:sz w:val="21"/>
          <w:szCs w:val="21"/>
        </w:rPr>
        <w:t>附件4-3 符合特定资格条件证明材料复印件或者情况说明</w:t>
      </w:r>
      <w:bookmarkEnd w:id="293"/>
    </w:p>
    <w:p>
      <w:pPr>
        <w:widowControl/>
        <w:adjustRightInd w:val="0"/>
        <w:snapToGrid w:val="0"/>
        <w:spacing w:line="360" w:lineRule="auto"/>
        <w:jc w:val="center"/>
        <w:rPr>
          <w:rFonts w:ascii="宋体" w:hAnsi="宋体" w:cs="宋体"/>
          <w:b/>
          <w:sz w:val="28"/>
          <w:szCs w:val="28"/>
        </w:rPr>
      </w:pPr>
      <w:r>
        <w:rPr>
          <w:rFonts w:hint="eastAsia" w:ascii="宋体" w:hAnsi="宋体" w:cs="宋体"/>
          <w:b/>
          <w:sz w:val="28"/>
          <w:szCs w:val="28"/>
        </w:rPr>
        <w:t>符合特定资格条件证明材料复印件或者情况说明</w:t>
      </w:r>
    </w:p>
    <w:p>
      <w:pPr>
        <w:widowControl/>
        <w:adjustRightInd w:val="0"/>
        <w:snapToGrid w:val="0"/>
        <w:spacing w:line="360" w:lineRule="auto"/>
        <w:ind w:firstLine="560" w:firstLineChars="200"/>
        <w:jc w:val="left"/>
        <w:rPr>
          <w:rFonts w:ascii="宋体" w:hAnsi="宋体" w:cs="宋体"/>
          <w:sz w:val="28"/>
          <w:szCs w:val="28"/>
        </w:rPr>
      </w:pP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注：按第二章第15.1（3）项要求提供。</w:t>
      </w:r>
    </w:p>
    <w:p>
      <w:pPr>
        <w:widowControl/>
        <w:jc w:val="left"/>
        <w:rPr>
          <w:rFonts w:ascii="宋体" w:hAnsi="宋体" w:cs="宋体"/>
          <w:szCs w:val="21"/>
        </w:rPr>
      </w:pPr>
      <w:r>
        <w:rPr>
          <w:rFonts w:hint="eastAsia" w:ascii="宋体" w:hAnsi="宋体" w:cs="宋体"/>
          <w:szCs w:val="21"/>
        </w:rPr>
        <w:br w:type="page"/>
      </w:r>
    </w:p>
    <w:bookmarkEnd w:id="289"/>
    <w:bookmarkEnd w:id="290"/>
    <w:p>
      <w:pPr>
        <w:adjustRightInd w:val="0"/>
        <w:snapToGrid w:val="0"/>
        <w:spacing w:line="360" w:lineRule="auto"/>
        <w:jc w:val="center"/>
        <w:rPr>
          <w:rFonts w:ascii="宋体" w:hAnsi="宋体" w:cs="宋体"/>
          <w:color w:val="000000"/>
          <w:sz w:val="32"/>
          <w:szCs w:val="32"/>
        </w:rPr>
      </w:pPr>
    </w:p>
    <w:p>
      <w:pPr>
        <w:adjustRightInd w:val="0"/>
        <w:snapToGrid w:val="0"/>
        <w:spacing w:line="360" w:lineRule="auto"/>
        <w:jc w:val="center"/>
        <w:rPr>
          <w:rFonts w:ascii="宋体" w:hAnsi="宋体" w:cs="宋体"/>
          <w:color w:val="000000"/>
          <w:sz w:val="32"/>
          <w:szCs w:val="32"/>
        </w:rPr>
      </w:pPr>
    </w:p>
    <w:p>
      <w:pPr>
        <w:pStyle w:val="26"/>
        <w:adjustRightInd w:val="0"/>
        <w:snapToGrid w:val="0"/>
        <w:spacing w:line="360" w:lineRule="auto"/>
        <w:jc w:val="center"/>
        <w:rPr>
          <w:rFonts w:hAnsi="宋体" w:cs="宋体"/>
          <w:bCs/>
          <w:sz w:val="72"/>
          <w:szCs w:val="72"/>
        </w:rPr>
      </w:pPr>
      <w:r>
        <w:rPr>
          <w:rFonts w:hint="eastAsia" w:hAnsi="宋体" w:cs="宋体"/>
          <w:bCs/>
          <w:sz w:val="72"/>
          <w:szCs w:val="72"/>
        </w:rPr>
        <w:t>政府采购</w:t>
      </w:r>
    </w:p>
    <w:p>
      <w:pPr>
        <w:adjustRightInd w:val="0"/>
        <w:snapToGrid w:val="0"/>
        <w:spacing w:line="360" w:lineRule="auto"/>
        <w:jc w:val="center"/>
        <w:rPr>
          <w:rFonts w:ascii="宋体" w:hAnsi="宋体" w:cs="宋体"/>
          <w:b/>
          <w:bCs/>
          <w:sz w:val="84"/>
          <w:szCs w:val="84"/>
        </w:rPr>
      </w:pPr>
      <w:r>
        <w:rPr>
          <w:rFonts w:hint="eastAsia" w:ascii="宋体" w:hAnsi="宋体" w:cs="宋体"/>
          <w:b/>
          <w:bCs/>
          <w:sz w:val="84"/>
          <w:szCs w:val="84"/>
        </w:rPr>
        <w:t>投 标 文 件</w:t>
      </w:r>
    </w:p>
    <w:p>
      <w:pPr>
        <w:pStyle w:val="8"/>
        <w:adjustRightInd w:val="0"/>
        <w:snapToGrid w:val="0"/>
        <w:jc w:val="center"/>
        <w:rPr>
          <w:rFonts w:ascii="宋体" w:hAnsi="宋体" w:cs="宋体"/>
          <w:color w:val="000000"/>
          <w:sz w:val="44"/>
          <w:szCs w:val="44"/>
        </w:rPr>
      </w:pPr>
      <w:bookmarkStart w:id="294" w:name="_Toc20579"/>
      <w:bookmarkStart w:id="295" w:name="_Toc19273"/>
      <w:r>
        <w:rPr>
          <w:rFonts w:hint="eastAsia" w:ascii="宋体" w:hAnsi="宋体" w:cs="宋体"/>
          <w:color w:val="000000"/>
          <w:sz w:val="44"/>
          <w:szCs w:val="44"/>
        </w:rPr>
        <w:t>第二部分 商务技术文件</w:t>
      </w:r>
      <w:bookmarkEnd w:id="294"/>
      <w:bookmarkEnd w:id="295"/>
    </w:p>
    <w:p>
      <w:pPr>
        <w:adjustRightInd w:val="0"/>
        <w:snapToGrid w:val="0"/>
        <w:spacing w:line="360" w:lineRule="auto"/>
        <w:rPr>
          <w:rFonts w:ascii="宋体" w:hAnsi="宋体" w:cs="宋体"/>
          <w:color w:val="000000"/>
          <w:sz w:val="32"/>
          <w:szCs w:val="32"/>
        </w:rPr>
      </w:pPr>
    </w:p>
    <w:p>
      <w:pPr>
        <w:pStyle w:val="26"/>
        <w:adjustRightInd w:val="0"/>
        <w:snapToGrid w:val="0"/>
        <w:spacing w:line="360" w:lineRule="auto"/>
        <w:ind w:firstLine="1988" w:firstLineChars="660"/>
        <w:rPr>
          <w:rFonts w:hAnsi="宋体" w:cs="宋体"/>
          <w:b/>
          <w:bCs/>
          <w:sz w:val="30"/>
          <w:szCs w:val="30"/>
        </w:rPr>
      </w:pP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采购项目名称:</w:t>
      </w:r>
    </w:p>
    <w:p>
      <w:pPr>
        <w:pStyle w:val="26"/>
        <w:adjustRightInd w:val="0"/>
        <w:snapToGrid w:val="0"/>
        <w:spacing w:line="360" w:lineRule="auto"/>
        <w:ind w:firstLine="1988" w:firstLineChars="660"/>
        <w:rPr>
          <w:rFonts w:hAnsi="宋体" w:cs="宋体"/>
          <w:b/>
          <w:bCs/>
          <w:sz w:val="30"/>
          <w:szCs w:val="30"/>
        </w:rPr>
      </w:pPr>
      <w:r>
        <w:rPr>
          <w:rFonts w:hint="eastAsia" w:hAnsi="宋体" w:cs="宋体"/>
          <w:b/>
          <w:bCs/>
          <w:sz w:val="30"/>
          <w:szCs w:val="30"/>
        </w:rPr>
        <w:t>采   购   人：</w:t>
      </w: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政府采购编号:</w:t>
      </w: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采购代理编号:</w:t>
      </w:r>
    </w:p>
    <w:p>
      <w:pPr>
        <w:pStyle w:val="26"/>
        <w:adjustRightInd w:val="0"/>
        <w:snapToGrid w:val="0"/>
        <w:spacing w:line="360" w:lineRule="auto"/>
        <w:ind w:firstLine="1988" w:firstLineChars="660"/>
        <w:rPr>
          <w:rFonts w:hAnsi="宋体" w:cs="宋体"/>
          <w:b/>
          <w:bCs/>
          <w:sz w:val="30"/>
          <w:szCs w:val="30"/>
          <w:u w:val="single"/>
        </w:rPr>
      </w:pPr>
      <w:r>
        <w:rPr>
          <w:rFonts w:hint="eastAsia" w:hAnsi="宋体" w:cs="宋体"/>
          <w:b/>
          <w:bCs/>
          <w:sz w:val="30"/>
          <w:szCs w:val="30"/>
        </w:rPr>
        <w:t>采购代理机构：</w:t>
      </w:r>
    </w:p>
    <w:p>
      <w:pPr>
        <w:adjustRightInd w:val="0"/>
        <w:snapToGrid w:val="0"/>
        <w:spacing w:line="360" w:lineRule="auto"/>
        <w:rPr>
          <w:rFonts w:ascii="宋体" w:hAnsi="宋体" w:cs="宋体"/>
          <w:color w:val="000000"/>
          <w:sz w:val="30"/>
          <w:szCs w:val="30"/>
        </w:rPr>
      </w:pPr>
    </w:p>
    <w:p>
      <w:pPr>
        <w:adjustRightInd w:val="0"/>
        <w:snapToGrid w:val="0"/>
        <w:spacing w:line="360" w:lineRule="auto"/>
        <w:rPr>
          <w:rFonts w:ascii="宋体" w:hAnsi="宋体" w:cs="宋体"/>
          <w:color w:val="000000"/>
          <w:sz w:val="30"/>
          <w:szCs w:val="30"/>
        </w:rPr>
      </w:pPr>
    </w:p>
    <w:p>
      <w:pPr>
        <w:adjustRightInd w:val="0"/>
        <w:snapToGrid w:val="0"/>
        <w:spacing w:line="360" w:lineRule="auto"/>
        <w:rPr>
          <w:rFonts w:ascii="宋体" w:hAnsi="宋体" w:cs="宋体"/>
          <w:color w:val="000000"/>
          <w:sz w:val="30"/>
          <w:szCs w:val="30"/>
        </w:rPr>
      </w:pPr>
    </w:p>
    <w:p>
      <w:pPr>
        <w:adjustRightInd w:val="0"/>
        <w:snapToGrid w:val="0"/>
        <w:spacing w:line="360" w:lineRule="auto"/>
        <w:rPr>
          <w:rFonts w:ascii="宋体" w:hAnsi="宋体" w:cs="宋体"/>
          <w:color w:val="000000"/>
          <w:sz w:val="30"/>
          <w:szCs w:val="30"/>
        </w:rPr>
      </w:pPr>
    </w:p>
    <w:p>
      <w:pPr>
        <w:adjustRightInd w:val="0"/>
        <w:snapToGrid w:val="0"/>
        <w:spacing w:line="360" w:lineRule="auto"/>
        <w:ind w:left="1273" w:leftChars="606" w:firstLine="2"/>
        <w:rPr>
          <w:rFonts w:ascii="宋体" w:hAnsi="宋体" w:cs="宋体"/>
          <w:color w:val="000000"/>
          <w:sz w:val="32"/>
          <w:szCs w:val="32"/>
          <w:u w:val="single"/>
        </w:rPr>
      </w:pPr>
      <w:r>
        <w:rPr>
          <w:rFonts w:hint="eastAsia" w:ascii="宋体" w:hAnsi="宋体" w:cs="宋体"/>
          <w:color w:val="000000"/>
          <w:sz w:val="32"/>
          <w:szCs w:val="32"/>
        </w:rPr>
        <w:t>投标人</w:t>
      </w:r>
    </w:p>
    <w:p>
      <w:pPr>
        <w:adjustRightInd w:val="0"/>
        <w:snapToGrid w:val="0"/>
        <w:spacing w:line="360" w:lineRule="auto"/>
        <w:jc w:val="center"/>
        <w:rPr>
          <w:rFonts w:ascii="宋体" w:hAnsi="宋体" w:cs="宋体"/>
          <w:color w:val="000000"/>
          <w:sz w:val="32"/>
          <w:szCs w:val="32"/>
        </w:rPr>
      </w:pPr>
      <w:r>
        <w:rPr>
          <w:rFonts w:hint="eastAsia" w:ascii="宋体" w:hAnsi="宋体" w:cs="宋体"/>
          <w:color w:val="000000"/>
          <w:sz w:val="32"/>
          <w:szCs w:val="32"/>
        </w:rPr>
        <w:t>年  月  日</w:t>
      </w:r>
    </w:p>
    <w:p>
      <w:pPr>
        <w:pStyle w:val="10"/>
        <w:adjustRightInd w:val="0"/>
        <w:spacing w:before="156" w:beforeLines="50" w:after="0" w:line="360" w:lineRule="auto"/>
        <w:jc w:val="left"/>
        <w:rPr>
          <w:rFonts w:ascii="宋体" w:hAnsi="宋体" w:eastAsia="宋体" w:cs="宋体"/>
          <w:b w:val="0"/>
          <w:color w:val="000000"/>
          <w:sz w:val="21"/>
          <w:szCs w:val="21"/>
        </w:rPr>
      </w:pPr>
      <w:r>
        <w:rPr>
          <w:rFonts w:hint="eastAsia" w:ascii="宋体" w:hAnsi="宋体" w:eastAsia="宋体" w:cs="宋体"/>
          <w:color w:val="000000"/>
          <w:u w:val="single"/>
        </w:rPr>
        <w:br w:type="page"/>
      </w:r>
      <w:bookmarkStart w:id="296" w:name="_Toc25453"/>
      <w:r>
        <w:rPr>
          <w:rFonts w:hint="eastAsia" w:ascii="宋体" w:hAnsi="宋体" w:eastAsia="宋体" w:cs="宋体"/>
          <w:b w:val="0"/>
          <w:color w:val="000000"/>
          <w:sz w:val="21"/>
          <w:szCs w:val="21"/>
        </w:rPr>
        <w:t>索引表2 符合性审查索引表</w:t>
      </w:r>
      <w:bookmarkEnd w:id="296"/>
    </w:p>
    <w:p>
      <w:pPr>
        <w:adjustRightInd w:val="0"/>
        <w:spacing w:before="156" w:beforeLines="50" w:line="360" w:lineRule="auto"/>
        <w:jc w:val="center"/>
        <w:rPr>
          <w:rFonts w:ascii="宋体" w:hAnsi="宋体" w:cs="宋体"/>
          <w:b/>
          <w:sz w:val="28"/>
          <w:szCs w:val="28"/>
        </w:rPr>
      </w:pPr>
      <w:r>
        <w:rPr>
          <w:rFonts w:hint="eastAsia" w:ascii="宋体" w:hAnsi="宋体" w:cs="宋体"/>
          <w:b/>
          <w:sz w:val="28"/>
          <w:szCs w:val="28"/>
        </w:rPr>
        <w:t>符合性审查索引表</w:t>
      </w:r>
    </w:p>
    <w:tbl>
      <w:tblPr>
        <w:tblStyle w:val="47"/>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410"/>
        <w:gridCol w:w="2268"/>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序号</w:t>
            </w:r>
          </w:p>
        </w:tc>
        <w:tc>
          <w:tcPr>
            <w:tcW w:w="1871" w:type="dxa"/>
            <w:tcBorders>
              <w:right w:val="single" w:color="auto" w:sz="4" w:space="0"/>
            </w:tcBorders>
            <w:vAlign w:val="center"/>
          </w:tcPr>
          <w:p>
            <w:pPr>
              <w:adjustRightInd w:val="0"/>
              <w:spacing w:before="156" w:beforeLines="50" w:line="360" w:lineRule="auto"/>
              <w:jc w:val="center"/>
              <w:rPr>
                <w:rFonts w:ascii="宋体" w:hAnsi="宋体" w:cs="宋体"/>
                <w:b/>
                <w:kern w:val="0"/>
                <w:sz w:val="20"/>
                <w:szCs w:val="21"/>
              </w:rPr>
            </w:pPr>
            <w:r>
              <w:rPr>
                <w:rFonts w:hint="eastAsia" w:ascii="宋体" w:hAnsi="宋体" w:cs="宋体"/>
                <w:b/>
                <w:kern w:val="0"/>
                <w:sz w:val="20"/>
                <w:szCs w:val="21"/>
                <w:lang w:eastAsia="zh-CN"/>
              </w:rPr>
              <w:t>采购</w:t>
            </w:r>
            <w:r>
              <w:rPr>
                <w:rFonts w:hint="eastAsia" w:ascii="宋体" w:hAnsi="宋体" w:cs="宋体"/>
                <w:b/>
                <w:kern w:val="0"/>
                <w:sz w:val="20"/>
                <w:szCs w:val="21"/>
              </w:rPr>
              <w:t>文件条款号</w:t>
            </w:r>
          </w:p>
        </w:tc>
        <w:tc>
          <w:tcPr>
            <w:tcW w:w="2410" w:type="dxa"/>
            <w:tcBorders>
              <w:left w:val="single" w:color="auto" w:sz="4" w:space="0"/>
            </w:tcBorders>
            <w:vAlign w:val="center"/>
          </w:tcPr>
          <w:p>
            <w:pPr>
              <w:adjustRightInd w:val="0"/>
              <w:spacing w:before="156" w:beforeLines="50" w:line="360" w:lineRule="auto"/>
              <w:jc w:val="center"/>
              <w:rPr>
                <w:rFonts w:ascii="宋体" w:hAnsi="宋体" w:cs="宋体"/>
                <w:b/>
                <w:kern w:val="0"/>
                <w:sz w:val="20"/>
                <w:szCs w:val="21"/>
              </w:rPr>
            </w:pPr>
            <w:r>
              <w:rPr>
                <w:rFonts w:hint="eastAsia" w:ascii="宋体" w:hAnsi="宋体" w:cs="宋体"/>
                <w:b/>
                <w:kern w:val="0"/>
                <w:szCs w:val="21"/>
              </w:rPr>
              <w:t>审查内容及标准</w:t>
            </w:r>
          </w:p>
        </w:tc>
        <w:tc>
          <w:tcPr>
            <w:tcW w:w="2268"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投标响应及证明材料</w:t>
            </w:r>
          </w:p>
        </w:tc>
        <w:tc>
          <w:tcPr>
            <w:tcW w:w="1722" w:type="dxa"/>
            <w:vAlign w:val="center"/>
          </w:tcPr>
          <w:p>
            <w:pPr>
              <w:adjustRightInd w:val="0"/>
              <w:spacing w:before="156" w:beforeLines="50" w:line="360" w:lineRule="auto"/>
              <w:jc w:val="center"/>
              <w:rPr>
                <w:rFonts w:ascii="宋体" w:hAnsi="宋体" w:cs="宋体"/>
                <w:b/>
                <w:kern w:val="0"/>
                <w:sz w:val="20"/>
                <w:szCs w:val="21"/>
              </w:rPr>
            </w:pPr>
            <w:r>
              <w:rPr>
                <w:rFonts w:hint="eastAsia" w:ascii="宋体" w:hAnsi="宋体" w:cs="宋体"/>
                <w:b/>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tcPr>
          <w:p>
            <w:pPr>
              <w:adjustRightInd w:val="0"/>
              <w:spacing w:before="156" w:beforeLines="50" w:line="360" w:lineRule="auto"/>
              <w:jc w:val="center"/>
              <w:rPr>
                <w:rFonts w:ascii="宋体" w:hAnsi="宋体" w:cs="宋体"/>
                <w:kern w:val="0"/>
                <w:sz w:val="20"/>
                <w:szCs w:val="21"/>
              </w:rPr>
            </w:pPr>
          </w:p>
        </w:tc>
        <w:tc>
          <w:tcPr>
            <w:tcW w:w="1871" w:type="dxa"/>
            <w:tcBorders>
              <w:right w:val="single" w:color="auto" w:sz="4" w:space="0"/>
            </w:tcBorders>
          </w:tcPr>
          <w:p>
            <w:pPr>
              <w:adjustRightInd w:val="0"/>
              <w:spacing w:before="156" w:beforeLines="50" w:line="360" w:lineRule="auto"/>
              <w:jc w:val="center"/>
              <w:rPr>
                <w:rFonts w:ascii="宋体" w:hAnsi="宋体" w:cs="宋体"/>
                <w:kern w:val="0"/>
                <w:sz w:val="20"/>
                <w:szCs w:val="21"/>
              </w:rPr>
            </w:pPr>
          </w:p>
        </w:tc>
        <w:tc>
          <w:tcPr>
            <w:tcW w:w="2410" w:type="dxa"/>
            <w:tcBorders>
              <w:left w:val="single" w:color="auto" w:sz="4" w:space="0"/>
            </w:tcBorders>
          </w:tcPr>
          <w:p>
            <w:pPr>
              <w:adjustRightInd w:val="0"/>
              <w:spacing w:before="156" w:beforeLines="50" w:line="360" w:lineRule="auto"/>
              <w:jc w:val="center"/>
              <w:rPr>
                <w:rFonts w:ascii="宋体" w:hAnsi="宋体" w:cs="宋体"/>
                <w:kern w:val="0"/>
                <w:sz w:val="20"/>
                <w:szCs w:val="21"/>
              </w:rPr>
            </w:pPr>
          </w:p>
        </w:tc>
        <w:tc>
          <w:tcPr>
            <w:tcW w:w="2268" w:type="dxa"/>
          </w:tcPr>
          <w:p>
            <w:pPr>
              <w:adjustRightInd w:val="0"/>
              <w:spacing w:before="156" w:beforeLines="50" w:line="360" w:lineRule="auto"/>
              <w:jc w:val="center"/>
              <w:rPr>
                <w:rFonts w:ascii="宋体" w:hAnsi="宋体" w:cs="宋体"/>
                <w:kern w:val="0"/>
                <w:sz w:val="20"/>
                <w:szCs w:val="21"/>
              </w:rPr>
            </w:pPr>
          </w:p>
        </w:tc>
        <w:tc>
          <w:tcPr>
            <w:tcW w:w="1722" w:type="dxa"/>
          </w:tcPr>
          <w:p>
            <w:pPr>
              <w:adjustRightInd w:val="0"/>
              <w:spacing w:before="156" w:beforeLines="50" w:line="360" w:lineRule="auto"/>
              <w:jc w:val="center"/>
              <w:rPr>
                <w:rFonts w:ascii="宋体" w:hAnsi="宋体" w:cs="宋体"/>
                <w:kern w:val="0"/>
                <w:sz w:val="20"/>
                <w:szCs w:val="21"/>
              </w:rPr>
            </w:pPr>
          </w:p>
        </w:tc>
      </w:tr>
    </w:tbl>
    <w:p>
      <w:pPr>
        <w:rPr>
          <w:rFonts w:ascii="宋体" w:hAnsi="宋体" w:cs="宋体"/>
        </w:rPr>
      </w:pPr>
    </w:p>
    <w:p>
      <w:pPr>
        <w:widowControl/>
        <w:jc w:val="left"/>
        <w:rPr>
          <w:rFonts w:ascii="宋体" w:hAnsi="宋体" w:cs="宋体"/>
          <w:b/>
          <w:bCs/>
          <w:sz w:val="28"/>
          <w:szCs w:val="28"/>
        </w:rPr>
      </w:pPr>
      <w:r>
        <w:rPr>
          <w:rFonts w:hint="eastAsia" w:ascii="宋体" w:hAnsi="宋体" w:cs="宋体"/>
        </w:rPr>
        <w:br w:type="page"/>
      </w:r>
    </w:p>
    <w:p>
      <w:pPr>
        <w:pStyle w:val="10"/>
        <w:adjustRightInd w:val="0"/>
        <w:snapToGrid w:val="0"/>
        <w:spacing w:before="156" w:beforeLines="50" w:after="0" w:line="360" w:lineRule="auto"/>
        <w:jc w:val="left"/>
        <w:rPr>
          <w:rFonts w:ascii="宋体" w:hAnsi="宋体" w:eastAsia="宋体" w:cs="宋体"/>
          <w:b w:val="0"/>
          <w:sz w:val="21"/>
          <w:szCs w:val="21"/>
        </w:rPr>
      </w:pPr>
      <w:bookmarkStart w:id="297" w:name="_Toc32248"/>
      <w:r>
        <w:rPr>
          <w:rFonts w:hint="eastAsia" w:ascii="宋体" w:hAnsi="宋体" w:eastAsia="宋体" w:cs="宋体"/>
          <w:b w:val="0"/>
          <w:color w:val="000000"/>
          <w:sz w:val="21"/>
          <w:szCs w:val="21"/>
        </w:rPr>
        <w:t xml:space="preserve">索引表3 </w:t>
      </w:r>
      <w:r>
        <w:rPr>
          <w:rFonts w:hint="eastAsia" w:ascii="宋体" w:hAnsi="宋体" w:eastAsia="宋体" w:cs="宋体"/>
          <w:b w:val="0"/>
          <w:sz w:val="21"/>
          <w:szCs w:val="21"/>
        </w:rPr>
        <w:t>评标索引表</w:t>
      </w:r>
      <w:bookmarkEnd w:id="297"/>
    </w:p>
    <w:p>
      <w:pPr>
        <w:adjustRightInd w:val="0"/>
        <w:snapToGrid w:val="0"/>
        <w:spacing w:before="156" w:beforeLines="50" w:line="360" w:lineRule="auto"/>
        <w:jc w:val="center"/>
        <w:rPr>
          <w:rFonts w:ascii="宋体" w:hAnsi="宋体" w:cs="宋体"/>
          <w:b/>
          <w:sz w:val="28"/>
          <w:szCs w:val="28"/>
        </w:rPr>
      </w:pPr>
      <w:r>
        <w:rPr>
          <w:rFonts w:hint="eastAsia" w:ascii="宋体" w:hAnsi="宋体" w:cs="宋体"/>
          <w:b/>
          <w:sz w:val="28"/>
          <w:szCs w:val="28"/>
        </w:rPr>
        <w:t>评标索引表</w:t>
      </w:r>
    </w:p>
    <w:tbl>
      <w:tblPr>
        <w:tblStyle w:val="47"/>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701"/>
        <w:gridCol w:w="1134"/>
        <w:gridCol w:w="1418"/>
        <w:gridCol w:w="2410"/>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序号</w:t>
            </w:r>
          </w:p>
        </w:tc>
        <w:tc>
          <w:tcPr>
            <w:tcW w:w="1701" w:type="dxa"/>
            <w:tcBorders>
              <w:right w:val="single" w:color="auto" w:sz="4" w:space="0"/>
            </w:tcBorders>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 w:val="20"/>
                <w:szCs w:val="21"/>
                <w:lang w:eastAsia="zh-CN"/>
              </w:rPr>
              <w:t>采购</w:t>
            </w:r>
            <w:r>
              <w:rPr>
                <w:rFonts w:hint="eastAsia" w:ascii="宋体" w:hAnsi="宋体" w:cs="宋体"/>
                <w:b/>
                <w:kern w:val="0"/>
                <w:sz w:val="20"/>
                <w:szCs w:val="21"/>
              </w:rPr>
              <w:t>文件</w:t>
            </w:r>
            <w:r>
              <w:rPr>
                <w:rFonts w:hint="eastAsia" w:ascii="宋体" w:hAnsi="宋体" w:cs="宋体"/>
                <w:b/>
                <w:kern w:val="0"/>
                <w:szCs w:val="21"/>
              </w:rPr>
              <w:t>条款号</w:t>
            </w:r>
          </w:p>
        </w:tc>
        <w:tc>
          <w:tcPr>
            <w:tcW w:w="1134" w:type="dxa"/>
            <w:tcBorders>
              <w:left w:val="single" w:color="auto" w:sz="4" w:space="0"/>
              <w:right w:val="single" w:color="auto" w:sz="4" w:space="0"/>
            </w:tcBorders>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评审因素</w:t>
            </w:r>
          </w:p>
        </w:tc>
        <w:tc>
          <w:tcPr>
            <w:tcW w:w="1418" w:type="dxa"/>
            <w:tcBorders>
              <w:left w:val="single" w:color="auto" w:sz="4" w:space="0"/>
            </w:tcBorders>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评标标准</w:t>
            </w:r>
          </w:p>
        </w:tc>
        <w:tc>
          <w:tcPr>
            <w:tcW w:w="2410"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投标响应及证明材料</w:t>
            </w:r>
          </w:p>
        </w:tc>
        <w:tc>
          <w:tcPr>
            <w:tcW w:w="1722" w:type="dxa"/>
            <w:vAlign w:val="center"/>
          </w:tcPr>
          <w:p>
            <w:pPr>
              <w:adjustRightInd w:val="0"/>
              <w:spacing w:before="156" w:beforeLines="50" w:line="360" w:lineRule="auto"/>
              <w:jc w:val="center"/>
              <w:rPr>
                <w:rFonts w:ascii="宋体" w:hAnsi="宋体" w:cs="宋体"/>
                <w:b/>
                <w:kern w:val="0"/>
                <w:szCs w:val="21"/>
              </w:rPr>
            </w:pPr>
            <w:r>
              <w:rPr>
                <w:rFonts w:hint="eastAsia" w:ascii="宋体" w:hAnsi="宋体" w:cs="宋体"/>
                <w:b/>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675" w:type="dxa"/>
          </w:tcPr>
          <w:p>
            <w:pPr>
              <w:adjustRightInd w:val="0"/>
              <w:spacing w:before="156" w:beforeLines="50" w:line="360" w:lineRule="auto"/>
              <w:jc w:val="center"/>
              <w:rPr>
                <w:rFonts w:ascii="宋体" w:hAnsi="宋体" w:cs="宋体"/>
                <w:kern w:val="0"/>
                <w:szCs w:val="21"/>
              </w:rPr>
            </w:pPr>
          </w:p>
        </w:tc>
        <w:tc>
          <w:tcPr>
            <w:tcW w:w="1701" w:type="dxa"/>
            <w:tcBorders>
              <w:right w:val="single" w:color="auto" w:sz="4" w:space="0"/>
            </w:tcBorders>
          </w:tcPr>
          <w:p>
            <w:pPr>
              <w:adjustRightInd w:val="0"/>
              <w:spacing w:before="156" w:beforeLines="50" w:line="360" w:lineRule="auto"/>
              <w:jc w:val="center"/>
              <w:rPr>
                <w:rFonts w:ascii="宋体" w:hAnsi="宋体" w:cs="宋体"/>
                <w:kern w:val="0"/>
                <w:szCs w:val="21"/>
              </w:rPr>
            </w:pPr>
          </w:p>
        </w:tc>
        <w:tc>
          <w:tcPr>
            <w:tcW w:w="1134" w:type="dxa"/>
            <w:tcBorders>
              <w:left w:val="single" w:color="auto" w:sz="4" w:space="0"/>
              <w:right w:val="single" w:color="auto" w:sz="4" w:space="0"/>
            </w:tcBorders>
          </w:tcPr>
          <w:p>
            <w:pPr>
              <w:adjustRightInd w:val="0"/>
              <w:spacing w:before="156" w:beforeLines="50" w:line="360" w:lineRule="auto"/>
              <w:jc w:val="center"/>
              <w:rPr>
                <w:rFonts w:ascii="宋体" w:hAnsi="宋体" w:cs="宋体"/>
                <w:kern w:val="0"/>
                <w:szCs w:val="21"/>
              </w:rPr>
            </w:pPr>
          </w:p>
        </w:tc>
        <w:tc>
          <w:tcPr>
            <w:tcW w:w="1418" w:type="dxa"/>
            <w:tcBorders>
              <w:left w:val="single" w:color="auto" w:sz="4" w:space="0"/>
            </w:tcBorders>
          </w:tcPr>
          <w:p>
            <w:pPr>
              <w:adjustRightInd w:val="0"/>
              <w:spacing w:before="156" w:beforeLines="50" w:line="360" w:lineRule="auto"/>
              <w:jc w:val="center"/>
              <w:rPr>
                <w:rFonts w:ascii="宋体" w:hAnsi="宋体" w:cs="宋体"/>
                <w:kern w:val="0"/>
                <w:szCs w:val="21"/>
              </w:rPr>
            </w:pPr>
          </w:p>
        </w:tc>
        <w:tc>
          <w:tcPr>
            <w:tcW w:w="2410" w:type="dxa"/>
          </w:tcPr>
          <w:p>
            <w:pPr>
              <w:adjustRightInd w:val="0"/>
              <w:spacing w:before="156" w:beforeLines="50" w:line="360" w:lineRule="auto"/>
              <w:jc w:val="center"/>
              <w:rPr>
                <w:rFonts w:ascii="宋体" w:hAnsi="宋体" w:cs="宋体"/>
                <w:kern w:val="0"/>
                <w:szCs w:val="21"/>
              </w:rPr>
            </w:pPr>
          </w:p>
        </w:tc>
        <w:tc>
          <w:tcPr>
            <w:tcW w:w="1722" w:type="dxa"/>
          </w:tcPr>
          <w:p>
            <w:pPr>
              <w:adjustRightInd w:val="0"/>
              <w:spacing w:before="156" w:beforeLines="50" w:line="360" w:lineRule="auto"/>
              <w:jc w:val="center"/>
              <w:rPr>
                <w:rFonts w:ascii="宋体" w:hAnsi="宋体" w:cs="宋体"/>
                <w:kern w:val="0"/>
                <w:szCs w:val="21"/>
              </w:rPr>
            </w:pPr>
          </w:p>
        </w:tc>
      </w:tr>
    </w:tbl>
    <w:p>
      <w:pPr>
        <w:rPr>
          <w:rFonts w:ascii="宋体" w:hAnsi="宋体" w:cs="宋体"/>
        </w:rPr>
      </w:pPr>
    </w:p>
    <w:p>
      <w:pPr>
        <w:widowControl/>
        <w:jc w:val="left"/>
        <w:rPr>
          <w:rFonts w:ascii="宋体" w:hAnsi="宋体" w:cs="宋体"/>
          <w:b/>
          <w:bCs/>
          <w:sz w:val="28"/>
          <w:szCs w:val="28"/>
        </w:rPr>
      </w:pPr>
      <w:r>
        <w:rPr>
          <w:rFonts w:hint="eastAsia" w:ascii="宋体" w:hAnsi="宋体" w:cs="宋体"/>
          <w:sz w:val="28"/>
          <w:szCs w:val="28"/>
        </w:rPr>
        <w:br w:type="page"/>
      </w:r>
    </w:p>
    <w:p>
      <w:pPr>
        <w:pStyle w:val="9"/>
        <w:adjustRightInd w:val="0"/>
        <w:snapToGrid w:val="0"/>
        <w:spacing w:before="0" w:after="0" w:line="360" w:lineRule="auto"/>
        <w:jc w:val="center"/>
        <w:rPr>
          <w:rFonts w:ascii="宋体" w:hAnsi="宋体" w:cs="宋体"/>
          <w:sz w:val="28"/>
          <w:szCs w:val="28"/>
        </w:rPr>
      </w:pPr>
      <w:bookmarkStart w:id="298" w:name="_Toc18697"/>
      <w:bookmarkStart w:id="299" w:name="_Toc19293"/>
      <w:r>
        <w:rPr>
          <w:rFonts w:hint="eastAsia" w:ascii="宋体" w:hAnsi="宋体" w:cs="宋体"/>
          <w:sz w:val="28"/>
          <w:szCs w:val="28"/>
        </w:rPr>
        <w:t>五、投标函</w:t>
      </w:r>
      <w:bookmarkEnd w:id="298"/>
      <w:bookmarkEnd w:id="299"/>
    </w:p>
    <w:p>
      <w:pPr>
        <w:adjustRightInd w:val="0"/>
        <w:snapToGrid w:val="0"/>
        <w:spacing w:before="156" w:beforeLines="50" w:line="360" w:lineRule="auto"/>
        <w:rPr>
          <w:rFonts w:ascii="宋体" w:hAnsi="宋体" w:cs="宋体"/>
          <w:szCs w:val="21"/>
        </w:rPr>
      </w:pPr>
      <w:r>
        <w:rPr>
          <w:rFonts w:hint="eastAsia" w:ascii="宋体" w:hAnsi="宋体" w:cs="宋体"/>
          <w:szCs w:val="21"/>
        </w:rPr>
        <w:t>致：（采购人或代理机构）：</w:t>
      </w:r>
    </w:p>
    <w:p>
      <w:pPr>
        <w:adjustRightInd w:val="0"/>
        <w:snapToGrid w:val="0"/>
        <w:spacing w:before="156" w:beforeLines="50" w:line="360" w:lineRule="auto"/>
        <w:ind w:firstLine="435"/>
        <w:rPr>
          <w:rFonts w:ascii="宋体" w:hAnsi="宋体" w:cs="宋体"/>
          <w:szCs w:val="21"/>
        </w:rPr>
      </w:pPr>
      <w:r>
        <w:rPr>
          <w:rFonts w:hint="eastAsia" w:ascii="宋体" w:hAnsi="宋体" w:cs="宋体"/>
          <w:szCs w:val="21"/>
        </w:rPr>
        <w:t>根据贵方为</w:t>
      </w:r>
      <w:r>
        <w:rPr>
          <w:rFonts w:hint="eastAsia" w:ascii="宋体" w:hAnsi="宋体" w:cs="宋体"/>
          <w:szCs w:val="21"/>
          <w:u w:val="single"/>
        </w:rPr>
        <w:t xml:space="preserve">      </w:t>
      </w:r>
      <w:r>
        <w:rPr>
          <w:rFonts w:hint="eastAsia" w:ascii="宋体" w:hAnsi="宋体" w:cs="宋体"/>
          <w:szCs w:val="21"/>
        </w:rPr>
        <w:t>（项目名称）的投标邀请（</w:t>
      </w:r>
      <w:r>
        <w:rPr>
          <w:rFonts w:hint="eastAsia" w:ascii="宋体" w:hAnsi="宋体" w:cs="宋体"/>
        </w:rPr>
        <w:t>政府</w:t>
      </w:r>
      <w:r>
        <w:rPr>
          <w:rFonts w:hint="eastAsia" w:ascii="宋体" w:hAnsi="宋体" w:cs="宋体"/>
          <w:iCs/>
        </w:rPr>
        <w:t>采购编号：</w:t>
      </w:r>
      <w:r>
        <w:rPr>
          <w:rFonts w:hint="eastAsia" w:ascii="宋体" w:hAnsi="宋体" w:cs="宋体"/>
          <w:iCs/>
          <w:u w:val="single"/>
        </w:rPr>
        <w:t xml:space="preserve">     </w:t>
      </w:r>
      <w:r>
        <w:rPr>
          <w:rFonts w:hint="eastAsia" w:ascii="宋体" w:hAnsi="宋体" w:cs="宋体"/>
          <w:iCs/>
        </w:rPr>
        <w:t>，</w:t>
      </w:r>
      <w:r>
        <w:rPr>
          <w:rFonts w:hint="eastAsia" w:ascii="宋体" w:hAnsi="宋体" w:cs="宋体"/>
          <w:szCs w:val="21"/>
        </w:rPr>
        <w:t>采购代理编号：</w:t>
      </w:r>
      <w:r>
        <w:rPr>
          <w:rFonts w:hint="eastAsia" w:ascii="宋体" w:hAnsi="宋体" w:cs="宋体"/>
          <w:szCs w:val="21"/>
          <w:u w:val="single"/>
        </w:rPr>
        <w:t xml:space="preserve">     </w:t>
      </w:r>
      <w:r>
        <w:rPr>
          <w:rFonts w:hint="eastAsia" w:ascii="宋体" w:hAnsi="宋体" w:cs="宋体"/>
          <w:szCs w:val="21"/>
        </w:rPr>
        <w:t xml:space="preserve"> ），签字代表</w:t>
      </w:r>
      <w:r>
        <w:rPr>
          <w:rFonts w:hint="eastAsia" w:ascii="宋体" w:hAnsi="宋体" w:cs="宋体"/>
          <w:szCs w:val="21"/>
          <w:u w:val="single"/>
        </w:rPr>
        <w:t xml:space="preserve">       </w:t>
      </w:r>
      <w:r>
        <w:rPr>
          <w:rFonts w:hint="eastAsia" w:ascii="宋体" w:hAnsi="宋体" w:cs="宋体"/>
          <w:szCs w:val="21"/>
        </w:rPr>
        <w:t>（姓名、职务）经正式授权并代表投标人</w:t>
      </w:r>
      <w:r>
        <w:rPr>
          <w:rFonts w:hint="eastAsia" w:ascii="宋体" w:hAnsi="宋体" w:cs="宋体"/>
          <w:szCs w:val="21"/>
          <w:u w:val="single"/>
        </w:rPr>
        <w:t xml:space="preserve">      </w:t>
      </w:r>
      <w:r>
        <w:rPr>
          <w:rFonts w:hint="eastAsia" w:ascii="宋体" w:hAnsi="宋体" w:cs="宋体"/>
          <w:szCs w:val="21"/>
        </w:rPr>
        <w:t>（投标人名称）提交下述投标文件第一部分资格证明文件：正本一份，副本</w:t>
      </w:r>
      <w:r>
        <w:rPr>
          <w:rFonts w:hint="eastAsia" w:ascii="宋体" w:hAnsi="宋体" w:cs="宋体"/>
          <w:szCs w:val="21"/>
          <w:lang w:eastAsia="zh-CN"/>
        </w:rPr>
        <w:t>肆</w:t>
      </w:r>
      <w:r>
        <w:rPr>
          <w:rFonts w:hint="eastAsia" w:ascii="宋体" w:hAnsi="宋体" w:cs="宋体"/>
          <w:szCs w:val="21"/>
        </w:rPr>
        <w:t>份；第二部分商务和技术文件：正本一份,副本</w:t>
      </w:r>
      <w:r>
        <w:rPr>
          <w:rFonts w:hint="eastAsia" w:ascii="宋体" w:hAnsi="宋体" w:cs="宋体"/>
          <w:szCs w:val="21"/>
          <w:u w:val="single"/>
        </w:rPr>
        <w:t xml:space="preserve">    </w:t>
      </w:r>
      <w:r>
        <w:rPr>
          <w:rFonts w:hint="eastAsia" w:ascii="宋体" w:hAnsi="宋体" w:cs="宋体"/>
          <w:szCs w:val="21"/>
        </w:rPr>
        <w:t>份；投标文件电子文档：一份，参加采购项目投标，并在此声明，所递交的投标文件内容完整、真实。</w:t>
      </w:r>
    </w:p>
    <w:p>
      <w:pPr>
        <w:adjustRightInd w:val="0"/>
        <w:snapToGrid w:val="0"/>
        <w:spacing w:before="156" w:beforeLines="50" w:line="360" w:lineRule="auto"/>
        <w:ind w:firstLine="422" w:firstLineChars="200"/>
        <w:rPr>
          <w:rFonts w:ascii="宋体" w:hAnsi="宋体" w:cs="宋体"/>
          <w:b/>
          <w:szCs w:val="21"/>
        </w:rPr>
      </w:pPr>
      <w:r>
        <w:rPr>
          <w:rFonts w:hint="eastAsia" w:ascii="宋体" w:hAnsi="宋体" w:cs="宋体"/>
          <w:b/>
          <w:szCs w:val="21"/>
        </w:rPr>
        <w:t>第一部分 资格证明文件</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一、开标一览表</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二、投标保证金</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三、法定代表人授权委托书</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四、投标人提供的资格证明文件</w:t>
      </w:r>
    </w:p>
    <w:p>
      <w:pPr>
        <w:adjustRightInd w:val="0"/>
        <w:snapToGrid w:val="0"/>
        <w:spacing w:before="156" w:beforeLines="50" w:line="360" w:lineRule="auto"/>
        <w:ind w:firstLine="422" w:firstLineChars="200"/>
        <w:rPr>
          <w:rFonts w:ascii="宋体" w:hAnsi="宋体" w:cs="宋体"/>
          <w:b/>
          <w:szCs w:val="21"/>
        </w:rPr>
      </w:pPr>
      <w:r>
        <w:rPr>
          <w:rFonts w:hint="eastAsia" w:ascii="宋体" w:hAnsi="宋体" w:cs="宋体"/>
          <w:b/>
          <w:szCs w:val="21"/>
        </w:rPr>
        <w:t>第二部分 商务技术文件</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五、投标函</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六、分项报价明细表</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七、采购需求响应</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八、商务、合同条款偏离表</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九、采购需求偏离表</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十、享受政府采购政策优惠的证明资料</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十一、投标货物符合</w:t>
      </w:r>
      <w:r>
        <w:rPr>
          <w:rFonts w:hint="eastAsia" w:ascii="宋体" w:hAnsi="宋体" w:cs="宋体"/>
          <w:szCs w:val="21"/>
          <w:lang w:eastAsia="zh-CN"/>
        </w:rPr>
        <w:t>采购</w:t>
      </w:r>
      <w:r>
        <w:rPr>
          <w:rFonts w:hint="eastAsia" w:ascii="宋体" w:hAnsi="宋体" w:cs="宋体"/>
          <w:szCs w:val="21"/>
        </w:rPr>
        <w:t>文件规定的证明文件</w:t>
      </w:r>
    </w:p>
    <w:p>
      <w:pPr>
        <w:adjustRightInd w:val="0"/>
        <w:snapToGrid w:val="0"/>
        <w:spacing w:before="156" w:beforeLines="50" w:line="360" w:lineRule="auto"/>
        <w:ind w:firstLine="630" w:firstLineChars="300"/>
        <w:rPr>
          <w:rFonts w:ascii="宋体" w:hAnsi="宋体" w:cs="宋体"/>
          <w:szCs w:val="21"/>
        </w:rPr>
      </w:pPr>
      <w:r>
        <w:rPr>
          <w:rFonts w:hint="eastAsia" w:ascii="宋体" w:hAnsi="宋体" w:cs="宋体"/>
          <w:szCs w:val="21"/>
        </w:rPr>
        <w:t>十二、投标人认为需提供的其他资料</w:t>
      </w:r>
    </w:p>
    <w:p>
      <w:pPr>
        <w:adjustRightInd w:val="0"/>
        <w:snapToGrid w:val="0"/>
        <w:spacing w:before="156" w:beforeLines="50" w:line="360" w:lineRule="auto"/>
        <w:ind w:firstLine="630" w:firstLineChars="300"/>
        <w:rPr>
          <w:rFonts w:ascii="宋体" w:hAnsi="宋体" w:cs="宋体"/>
          <w:color w:val="000000"/>
          <w:szCs w:val="21"/>
        </w:rPr>
      </w:pPr>
      <w:r>
        <w:rPr>
          <w:rFonts w:hint="eastAsia" w:ascii="宋体" w:hAnsi="宋体" w:cs="宋体"/>
          <w:szCs w:val="21"/>
        </w:rPr>
        <w:t>十三、</w:t>
      </w:r>
      <w:r>
        <w:rPr>
          <w:rFonts w:hint="eastAsia" w:ascii="宋体" w:hAnsi="宋体" w:cs="宋体"/>
          <w:color w:val="000000"/>
          <w:szCs w:val="21"/>
          <w:lang w:eastAsia="zh-CN"/>
        </w:rPr>
        <w:t>采购</w:t>
      </w:r>
      <w:r>
        <w:rPr>
          <w:rFonts w:hint="eastAsia" w:ascii="宋体" w:hAnsi="宋体" w:cs="宋体"/>
          <w:color w:val="000000"/>
          <w:szCs w:val="21"/>
        </w:rPr>
        <w:t>代理服务费承诺书</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在此，签字代表宣布同意如下：</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1、投标人严格按照</w:t>
      </w:r>
      <w:r>
        <w:rPr>
          <w:rFonts w:hint="eastAsia" w:ascii="宋体" w:hAnsi="宋体" w:cs="宋体"/>
          <w:szCs w:val="21"/>
          <w:lang w:eastAsia="zh-CN"/>
        </w:rPr>
        <w:t>采购</w:t>
      </w:r>
      <w:r>
        <w:rPr>
          <w:rFonts w:hint="eastAsia" w:ascii="宋体" w:hAnsi="宋体" w:cs="宋体"/>
          <w:szCs w:val="21"/>
        </w:rPr>
        <w:t>文件的规定报价，见《开标一览表》。</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2、投标人将按</w:t>
      </w:r>
      <w:r>
        <w:rPr>
          <w:rFonts w:hint="eastAsia" w:ascii="宋体" w:hAnsi="宋体" w:cs="宋体"/>
          <w:szCs w:val="21"/>
          <w:lang w:eastAsia="zh-CN"/>
        </w:rPr>
        <w:t>采购</w:t>
      </w:r>
      <w:r>
        <w:rPr>
          <w:rFonts w:hint="eastAsia" w:ascii="宋体" w:hAnsi="宋体" w:cs="宋体"/>
          <w:szCs w:val="21"/>
        </w:rPr>
        <w:t>文件的规定履行合同责任和义务。</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3、投标人已详细审查</w:t>
      </w:r>
      <w:r>
        <w:rPr>
          <w:rFonts w:hint="eastAsia" w:ascii="宋体" w:hAnsi="宋体" w:cs="宋体"/>
          <w:szCs w:val="21"/>
          <w:lang w:eastAsia="zh-CN"/>
        </w:rPr>
        <w:t>采购</w:t>
      </w:r>
      <w:r>
        <w:rPr>
          <w:rFonts w:hint="eastAsia" w:ascii="宋体" w:hAnsi="宋体" w:cs="宋体"/>
          <w:szCs w:val="21"/>
        </w:rPr>
        <w:t>文件。我们完全理解并同意放弃对这方面有不明及误解的权力。</w:t>
      </w:r>
    </w:p>
    <w:p>
      <w:pPr>
        <w:adjustRightInd w:val="0"/>
        <w:snapToGrid w:val="0"/>
        <w:spacing w:before="156" w:beforeLines="50" w:line="360" w:lineRule="auto"/>
        <w:ind w:firstLine="420" w:firstLineChars="200"/>
        <w:rPr>
          <w:rFonts w:ascii="宋体" w:hAnsi="宋体" w:cs="宋体"/>
        </w:rPr>
      </w:pPr>
      <w:r>
        <w:rPr>
          <w:rFonts w:hint="eastAsia" w:ascii="宋体" w:hAnsi="宋体" w:cs="宋体"/>
          <w:szCs w:val="21"/>
        </w:rPr>
        <w:t>4、本投标有效期为自</w:t>
      </w:r>
      <w:r>
        <w:rPr>
          <w:rFonts w:hint="eastAsia" w:ascii="宋体" w:hAnsi="宋体" w:cs="宋体"/>
          <w:szCs w:val="21"/>
          <w:lang w:eastAsia="zh-CN"/>
        </w:rPr>
        <w:t>采购</w:t>
      </w:r>
      <w:r>
        <w:rPr>
          <w:rFonts w:hint="eastAsia" w:ascii="宋体" w:hAnsi="宋体" w:cs="宋体"/>
          <w:szCs w:val="21"/>
        </w:rPr>
        <w:t>文件规定的提交投标文件截止之日起</w:t>
      </w:r>
      <w:r>
        <w:rPr>
          <w:rFonts w:hint="eastAsia" w:ascii="宋体" w:hAnsi="宋体" w:cs="宋体"/>
          <w:szCs w:val="21"/>
          <w:u w:val="single"/>
        </w:rPr>
        <w:t xml:space="preserve">     </w:t>
      </w:r>
      <w:r>
        <w:rPr>
          <w:rFonts w:hint="eastAsia" w:ascii="宋体" w:hAnsi="宋体" w:cs="宋体"/>
          <w:szCs w:val="21"/>
        </w:rPr>
        <w:t>个日历日。在投标有效期内，</w:t>
      </w:r>
      <w:r>
        <w:rPr>
          <w:rFonts w:hint="eastAsia" w:ascii="宋体" w:hAnsi="宋体" w:cs="宋体"/>
        </w:rPr>
        <w:t>投标人同意遵守本</w:t>
      </w:r>
      <w:r>
        <w:rPr>
          <w:rFonts w:hint="eastAsia" w:ascii="宋体" w:hAnsi="宋体" w:cs="宋体"/>
          <w:szCs w:val="21"/>
        </w:rPr>
        <w:t>投标</w:t>
      </w:r>
      <w:r>
        <w:rPr>
          <w:rFonts w:hint="eastAsia" w:ascii="宋体" w:hAnsi="宋体" w:cs="宋体"/>
        </w:rPr>
        <w:t>文件中的承诺且在此期限期满之前</w:t>
      </w:r>
      <w:r>
        <w:rPr>
          <w:rFonts w:hint="eastAsia" w:ascii="宋体" w:hAnsi="宋体" w:cs="宋体"/>
          <w:szCs w:val="21"/>
        </w:rPr>
        <w:t>投标</w:t>
      </w:r>
      <w:r>
        <w:rPr>
          <w:rFonts w:hint="eastAsia" w:ascii="宋体" w:hAnsi="宋体" w:cs="宋体"/>
        </w:rPr>
        <w:t>文件</w:t>
      </w:r>
      <w:r>
        <w:rPr>
          <w:rFonts w:hint="eastAsia" w:ascii="宋体" w:hAnsi="宋体" w:cs="宋体"/>
          <w:szCs w:val="21"/>
        </w:rPr>
        <w:t>对我方具有法律约束力</w:t>
      </w:r>
      <w:r>
        <w:rPr>
          <w:rFonts w:hint="eastAsia" w:ascii="宋体" w:hAnsi="宋体" w:cs="宋体"/>
        </w:rPr>
        <w:t>。</w:t>
      </w:r>
    </w:p>
    <w:p>
      <w:pPr>
        <w:adjustRightInd w:val="0"/>
        <w:snapToGrid w:val="0"/>
        <w:spacing w:before="156" w:beforeLines="50" w:line="360" w:lineRule="auto"/>
        <w:ind w:firstLine="420" w:firstLineChars="200"/>
        <w:rPr>
          <w:rFonts w:ascii="宋体" w:hAnsi="宋体" w:cs="宋体"/>
        </w:rPr>
      </w:pPr>
      <w:r>
        <w:rPr>
          <w:rFonts w:hint="eastAsia" w:ascii="宋体" w:hAnsi="宋体" w:cs="宋体"/>
        </w:rPr>
        <w:t>5、</w:t>
      </w:r>
      <w:r>
        <w:rPr>
          <w:rFonts w:hint="eastAsia" w:ascii="宋体" w:hAnsi="宋体" w:cs="宋体"/>
          <w:szCs w:val="21"/>
        </w:rPr>
        <w:t>同意提供贵方可能要求的与其投标有关的一切数据或资料。</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6、与本投标有关的一切正式往来信函请寄：</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地址：；邮编： ；电话：；电子邮箱： 。</w:t>
      </w:r>
    </w:p>
    <w:p>
      <w:pPr>
        <w:adjustRightInd w:val="0"/>
        <w:snapToGrid w:val="0"/>
        <w:spacing w:before="156" w:beforeLines="50" w:line="360" w:lineRule="auto"/>
        <w:ind w:firstLine="420" w:firstLineChars="200"/>
        <w:rPr>
          <w:rFonts w:ascii="宋体" w:hAnsi="宋体" w:cs="宋体"/>
          <w:szCs w:val="21"/>
        </w:rPr>
      </w:pPr>
    </w:p>
    <w:p>
      <w:pPr>
        <w:pStyle w:val="26"/>
        <w:adjustRightInd w:val="0"/>
        <w:snapToGrid w:val="0"/>
        <w:spacing w:before="156" w:beforeLines="50" w:line="360" w:lineRule="auto"/>
        <w:rPr>
          <w:rFonts w:hAnsi="宋体" w:cs="宋体"/>
        </w:rPr>
      </w:pPr>
    </w:p>
    <w:p>
      <w:pPr>
        <w:pStyle w:val="26"/>
        <w:adjustRightInd w:val="0"/>
        <w:snapToGrid w:val="0"/>
        <w:spacing w:before="156" w:beforeLines="50" w:line="360" w:lineRule="auto"/>
        <w:rPr>
          <w:rFonts w:hAnsi="宋体" w:cs="宋体"/>
        </w:rPr>
      </w:pPr>
      <w:r>
        <w:rPr>
          <w:rFonts w:hint="eastAsia" w:hAnsi="宋体" w:cs="宋体"/>
        </w:rPr>
        <w:t xml:space="preserve">投标人名称（盖单位章）：                       </w:t>
      </w:r>
    </w:p>
    <w:p>
      <w:pPr>
        <w:adjustRightInd w:val="0"/>
        <w:snapToGrid w:val="0"/>
        <w:spacing w:before="156" w:beforeLines="50" w:line="360" w:lineRule="auto"/>
        <w:rPr>
          <w:rFonts w:ascii="宋体" w:hAnsi="宋体" w:cs="宋体"/>
          <w:szCs w:val="21"/>
          <w:u w:val="single"/>
        </w:rPr>
      </w:pPr>
      <w:r>
        <w:rPr>
          <w:rFonts w:hint="eastAsia" w:ascii="宋体" w:hAnsi="宋体" w:cs="宋体"/>
          <w:szCs w:val="21"/>
        </w:rPr>
        <w:t>法定代表人或其授权的代理人（签字或印章）：</w:t>
      </w:r>
    </w:p>
    <w:p>
      <w:pPr>
        <w:adjustRightInd w:val="0"/>
        <w:snapToGrid w:val="0"/>
        <w:spacing w:before="156" w:beforeLines="50" w:line="360" w:lineRule="auto"/>
        <w:rPr>
          <w:rFonts w:ascii="宋体" w:hAnsi="宋体" w:cs="宋体"/>
          <w:b/>
          <w:bCs/>
          <w:sz w:val="28"/>
          <w:szCs w:val="28"/>
        </w:rPr>
      </w:pPr>
      <w:r>
        <w:rPr>
          <w:rFonts w:hint="eastAsia" w:ascii="宋体" w:hAnsi="宋体" w:cs="宋体"/>
          <w:szCs w:val="21"/>
        </w:rPr>
        <w:t>日期：年月日</w:t>
      </w:r>
      <w:r>
        <w:rPr>
          <w:rFonts w:hint="eastAsia" w:ascii="宋体" w:hAnsi="宋体" w:cs="宋体"/>
          <w:b/>
          <w:bCs/>
          <w:sz w:val="28"/>
          <w:szCs w:val="28"/>
        </w:rPr>
        <w:br w:type="page"/>
      </w:r>
    </w:p>
    <w:p>
      <w:pPr>
        <w:pStyle w:val="9"/>
        <w:adjustRightInd w:val="0"/>
        <w:snapToGrid w:val="0"/>
        <w:spacing w:before="0" w:after="0" w:line="360" w:lineRule="auto"/>
        <w:jc w:val="center"/>
        <w:rPr>
          <w:rFonts w:ascii="宋体" w:hAnsi="宋体" w:cs="宋体"/>
          <w:sz w:val="28"/>
          <w:szCs w:val="28"/>
        </w:rPr>
      </w:pPr>
      <w:bookmarkStart w:id="300" w:name="_Toc31310"/>
      <w:bookmarkStart w:id="301" w:name="_Toc11765"/>
      <w:r>
        <w:rPr>
          <w:rFonts w:hint="eastAsia" w:ascii="宋体" w:hAnsi="宋体" w:cs="宋体"/>
          <w:sz w:val="28"/>
          <w:szCs w:val="28"/>
        </w:rPr>
        <w:t>六、分项报价明细表</w:t>
      </w:r>
      <w:bookmarkEnd w:id="300"/>
      <w:bookmarkEnd w:id="301"/>
    </w:p>
    <w:p>
      <w:pPr>
        <w:pStyle w:val="10"/>
        <w:jc w:val="left"/>
        <w:rPr>
          <w:rFonts w:ascii="宋体" w:hAnsi="宋体" w:eastAsia="宋体" w:cs="宋体"/>
          <w:b w:val="0"/>
          <w:kern w:val="0"/>
          <w:sz w:val="21"/>
          <w:szCs w:val="21"/>
        </w:rPr>
      </w:pPr>
      <w:bookmarkStart w:id="302" w:name="_Toc7568"/>
      <w:r>
        <w:rPr>
          <w:rFonts w:hint="eastAsia" w:ascii="宋体" w:hAnsi="宋体" w:eastAsia="宋体" w:cs="宋体"/>
          <w:b w:val="0"/>
          <w:bCs w:val="0"/>
          <w:spacing w:val="6"/>
          <w:kern w:val="0"/>
          <w:sz w:val="21"/>
          <w:szCs w:val="21"/>
        </w:rPr>
        <w:t xml:space="preserve">附件6-1 </w:t>
      </w:r>
      <w:r>
        <w:rPr>
          <w:rFonts w:hint="eastAsia" w:ascii="宋体" w:hAnsi="宋体" w:eastAsia="宋体" w:cs="宋体"/>
          <w:b w:val="0"/>
          <w:spacing w:val="-2"/>
          <w:kern w:val="0"/>
          <w:sz w:val="21"/>
          <w:szCs w:val="21"/>
        </w:rPr>
        <w:t>分</w:t>
      </w:r>
      <w:r>
        <w:rPr>
          <w:rFonts w:hint="eastAsia" w:ascii="宋体" w:hAnsi="宋体" w:eastAsia="宋体" w:cs="宋体"/>
          <w:b w:val="0"/>
          <w:kern w:val="0"/>
          <w:sz w:val="21"/>
          <w:szCs w:val="21"/>
        </w:rPr>
        <w:t>项</w:t>
      </w:r>
      <w:r>
        <w:rPr>
          <w:rFonts w:hint="eastAsia" w:ascii="宋体" w:hAnsi="宋体" w:eastAsia="宋体" w:cs="宋体"/>
          <w:b w:val="0"/>
          <w:spacing w:val="-2"/>
          <w:kern w:val="0"/>
          <w:sz w:val="21"/>
          <w:szCs w:val="21"/>
        </w:rPr>
        <w:t>报</w:t>
      </w:r>
      <w:r>
        <w:rPr>
          <w:rFonts w:hint="eastAsia" w:ascii="宋体" w:hAnsi="宋体" w:eastAsia="宋体" w:cs="宋体"/>
          <w:b w:val="0"/>
          <w:kern w:val="0"/>
          <w:sz w:val="21"/>
          <w:szCs w:val="21"/>
        </w:rPr>
        <w:t>价明细</w:t>
      </w:r>
      <w:r>
        <w:rPr>
          <w:rFonts w:hint="eastAsia" w:ascii="宋体" w:hAnsi="宋体" w:eastAsia="宋体" w:cs="宋体"/>
          <w:b w:val="0"/>
          <w:spacing w:val="-2"/>
          <w:kern w:val="0"/>
          <w:sz w:val="21"/>
          <w:szCs w:val="21"/>
        </w:rPr>
        <w:t>表</w:t>
      </w:r>
      <w:r>
        <w:rPr>
          <w:rFonts w:hint="eastAsia" w:ascii="宋体" w:hAnsi="宋体" w:eastAsia="宋体" w:cs="宋体"/>
          <w:b w:val="0"/>
          <w:kern w:val="0"/>
          <w:sz w:val="21"/>
          <w:szCs w:val="21"/>
        </w:rPr>
        <w:t>说明</w:t>
      </w:r>
      <w:bookmarkEnd w:id="302"/>
    </w:p>
    <w:p>
      <w:pPr>
        <w:autoSpaceDE w:val="0"/>
        <w:autoSpaceDN w:val="0"/>
        <w:adjustRightInd w:val="0"/>
        <w:snapToGrid w:val="0"/>
        <w:spacing w:line="360" w:lineRule="auto"/>
        <w:jc w:val="center"/>
        <w:rPr>
          <w:rFonts w:ascii="宋体" w:hAnsi="宋体" w:cs="宋体"/>
          <w:b/>
          <w:kern w:val="0"/>
          <w:sz w:val="28"/>
          <w:szCs w:val="28"/>
        </w:rPr>
      </w:pPr>
      <w:r>
        <w:rPr>
          <w:rFonts w:hint="eastAsia" w:ascii="宋体" w:hAnsi="宋体" w:cs="宋体"/>
          <w:b/>
          <w:spacing w:val="-2"/>
          <w:kern w:val="0"/>
          <w:sz w:val="28"/>
          <w:szCs w:val="28"/>
        </w:rPr>
        <w:t>分</w:t>
      </w:r>
      <w:r>
        <w:rPr>
          <w:rFonts w:hint="eastAsia" w:ascii="宋体" w:hAnsi="宋体" w:cs="宋体"/>
          <w:b/>
          <w:kern w:val="0"/>
          <w:sz w:val="28"/>
          <w:szCs w:val="28"/>
        </w:rPr>
        <w:t>项</w:t>
      </w:r>
      <w:r>
        <w:rPr>
          <w:rFonts w:hint="eastAsia" w:ascii="宋体" w:hAnsi="宋体" w:cs="宋体"/>
          <w:b/>
          <w:spacing w:val="-2"/>
          <w:kern w:val="0"/>
          <w:sz w:val="28"/>
          <w:szCs w:val="28"/>
        </w:rPr>
        <w:t>报</w:t>
      </w:r>
      <w:r>
        <w:rPr>
          <w:rFonts w:hint="eastAsia" w:ascii="宋体" w:hAnsi="宋体" w:cs="宋体"/>
          <w:b/>
          <w:kern w:val="0"/>
          <w:sz w:val="28"/>
          <w:szCs w:val="28"/>
        </w:rPr>
        <w:t>价</w:t>
      </w:r>
      <w:r>
        <w:rPr>
          <w:rFonts w:hint="eastAsia" w:ascii="宋体" w:hAnsi="宋体" w:cs="宋体"/>
          <w:b/>
          <w:spacing w:val="-2"/>
          <w:kern w:val="0"/>
          <w:sz w:val="28"/>
          <w:szCs w:val="28"/>
        </w:rPr>
        <w:t>明细表</w:t>
      </w:r>
      <w:r>
        <w:rPr>
          <w:rFonts w:hint="eastAsia" w:ascii="宋体" w:hAnsi="宋体" w:cs="宋体"/>
          <w:b/>
          <w:kern w:val="0"/>
          <w:sz w:val="28"/>
          <w:szCs w:val="28"/>
        </w:rPr>
        <w:t>说明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备注：分项报价明细表为采购项目的投标报价的</w:t>
      </w:r>
      <w:r>
        <w:rPr>
          <w:rFonts w:hint="eastAsia" w:ascii="宋体" w:hAnsi="宋体" w:cs="宋体"/>
          <w:kern w:val="0"/>
          <w:position w:val="-1"/>
          <w:szCs w:val="21"/>
        </w:rPr>
        <w:t>分项项目</w:t>
      </w:r>
      <w:r>
        <w:rPr>
          <w:rFonts w:hint="eastAsia" w:ascii="宋体" w:hAnsi="宋体" w:cs="宋体"/>
          <w:kern w:val="0"/>
          <w:szCs w:val="21"/>
        </w:rPr>
        <w:t>构成明细，投标人应按</w:t>
      </w:r>
      <w:r>
        <w:rPr>
          <w:rFonts w:hint="eastAsia" w:ascii="宋体" w:hAnsi="宋体" w:cs="宋体"/>
          <w:kern w:val="0"/>
          <w:szCs w:val="21"/>
          <w:lang w:eastAsia="zh-CN"/>
        </w:rPr>
        <w:t>采购</w:t>
      </w:r>
      <w:r>
        <w:rPr>
          <w:rFonts w:hint="eastAsia" w:ascii="宋体" w:hAnsi="宋体" w:cs="宋体"/>
          <w:kern w:val="0"/>
          <w:szCs w:val="21"/>
        </w:rPr>
        <w:t>文件第二章第14.1款要求编制，并说明。</w:t>
      </w:r>
    </w:p>
    <w:p>
      <w:pPr>
        <w:rPr>
          <w:rFonts w:ascii="宋体" w:hAnsi="宋体" w:cs="宋体"/>
        </w:rPr>
      </w:pPr>
    </w:p>
    <w:p>
      <w:pPr>
        <w:pStyle w:val="10"/>
        <w:jc w:val="left"/>
        <w:rPr>
          <w:rFonts w:ascii="宋体" w:hAnsi="宋体" w:eastAsia="宋体" w:cs="宋体"/>
          <w:b w:val="0"/>
          <w:kern w:val="0"/>
          <w:sz w:val="21"/>
          <w:szCs w:val="21"/>
        </w:rPr>
      </w:pPr>
      <w:bookmarkStart w:id="303" w:name="_Toc829"/>
      <w:r>
        <w:rPr>
          <w:rFonts w:hint="eastAsia" w:ascii="宋体" w:hAnsi="宋体" w:eastAsia="宋体" w:cs="宋体"/>
          <w:b w:val="0"/>
          <w:bCs w:val="0"/>
          <w:spacing w:val="6"/>
          <w:kern w:val="0"/>
          <w:sz w:val="21"/>
          <w:szCs w:val="21"/>
        </w:rPr>
        <w:t xml:space="preserve">附件6-2 </w:t>
      </w:r>
      <w:r>
        <w:rPr>
          <w:rFonts w:hint="eastAsia" w:ascii="宋体" w:hAnsi="宋体" w:eastAsia="宋体" w:cs="宋体"/>
          <w:b w:val="0"/>
          <w:spacing w:val="-2"/>
          <w:kern w:val="0"/>
          <w:position w:val="-3"/>
          <w:sz w:val="21"/>
          <w:szCs w:val="21"/>
        </w:rPr>
        <w:t>分</w:t>
      </w:r>
      <w:r>
        <w:rPr>
          <w:rFonts w:hint="eastAsia" w:ascii="宋体" w:hAnsi="宋体" w:eastAsia="宋体" w:cs="宋体"/>
          <w:b w:val="0"/>
          <w:kern w:val="0"/>
          <w:position w:val="-3"/>
          <w:sz w:val="21"/>
          <w:szCs w:val="21"/>
        </w:rPr>
        <w:t>项</w:t>
      </w:r>
      <w:r>
        <w:rPr>
          <w:rFonts w:hint="eastAsia" w:ascii="宋体" w:hAnsi="宋体" w:eastAsia="宋体" w:cs="宋体"/>
          <w:b w:val="0"/>
          <w:spacing w:val="-2"/>
          <w:kern w:val="0"/>
          <w:position w:val="-3"/>
          <w:sz w:val="21"/>
          <w:szCs w:val="21"/>
        </w:rPr>
        <w:t>报</w:t>
      </w:r>
      <w:r>
        <w:rPr>
          <w:rFonts w:hint="eastAsia" w:ascii="宋体" w:hAnsi="宋体" w:eastAsia="宋体" w:cs="宋体"/>
          <w:b w:val="0"/>
          <w:kern w:val="0"/>
          <w:position w:val="-3"/>
          <w:sz w:val="21"/>
          <w:szCs w:val="21"/>
        </w:rPr>
        <w:t>价明细表</w:t>
      </w:r>
      <w:bookmarkEnd w:id="303"/>
    </w:p>
    <w:p>
      <w:pPr>
        <w:adjustRightInd w:val="0"/>
        <w:snapToGrid w:val="0"/>
        <w:spacing w:line="360" w:lineRule="auto"/>
        <w:jc w:val="center"/>
        <w:rPr>
          <w:rFonts w:ascii="宋体" w:hAnsi="宋体" w:cs="宋体"/>
          <w:b/>
          <w:kern w:val="0"/>
          <w:position w:val="-3"/>
          <w:sz w:val="28"/>
          <w:szCs w:val="28"/>
        </w:rPr>
      </w:pPr>
      <w:r>
        <w:rPr>
          <w:rFonts w:hint="eastAsia" w:ascii="宋体" w:hAnsi="宋体" w:cs="宋体"/>
          <w:b/>
          <w:spacing w:val="-2"/>
          <w:kern w:val="0"/>
          <w:position w:val="-3"/>
          <w:sz w:val="28"/>
          <w:szCs w:val="28"/>
        </w:rPr>
        <w:t>分</w:t>
      </w:r>
      <w:r>
        <w:rPr>
          <w:rFonts w:hint="eastAsia" w:ascii="宋体" w:hAnsi="宋体" w:cs="宋体"/>
          <w:b/>
          <w:kern w:val="0"/>
          <w:position w:val="-3"/>
          <w:sz w:val="28"/>
          <w:szCs w:val="28"/>
        </w:rPr>
        <w:t>项</w:t>
      </w:r>
      <w:r>
        <w:rPr>
          <w:rFonts w:hint="eastAsia" w:ascii="宋体" w:hAnsi="宋体" w:cs="宋体"/>
          <w:b/>
          <w:spacing w:val="-2"/>
          <w:kern w:val="0"/>
          <w:position w:val="-3"/>
          <w:sz w:val="28"/>
          <w:szCs w:val="28"/>
        </w:rPr>
        <w:t>报</w:t>
      </w:r>
      <w:r>
        <w:rPr>
          <w:rFonts w:hint="eastAsia" w:ascii="宋体" w:hAnsi="宋体" w:cs="宋体"/>
          <w:b/>
          <w:kern w:val="0"/>
          <w:position w:val="-3"/>
          <w:sz w:val="28"/>
          <w:szCs w:val="28"/>
        </w:rPr>
        <w:t>价明细表</w:t>
      </w:r>
    </w:p>
    <w:p>
      <w:pPr>
        <w:adjustRightInd w:val="0"/>
        <w:snapToGrid w:val="0"/>
        <w:spacing w:line="360" w:lineRule="auto"/>
        <w:rPr>
          <w:rFonts w:ascii="宋体" w:hAnsi="宋体" w:cs="宋体"/>
          <w:szCs w:val="21"/>
        </w:rPr>
      </w:pPr>
      <w:r>
        <w:rPr>
          <w:rFonts w:hint="eastAsia" w:ascii="宋体" w:hAnsi="宋体" w:cs="宋体"/>
          <w:szCs w:val="21"/>
        </w:rPr>
        <w:t>采购代理编号：</w:t>
      </w:r>
      <w:r>
        <w:rPr>
          <w:rFonts w:hint="eastAsia" w:ascii="宋体" w:hAnsi="宋体" w:cs="宋体"/>
          <w:kern w:val="0"/>
          <w:szCs w:val="21"/>
          <w:u w:val="single"/>
        </w:rPr>
        <w:t xml:space="preserve">              </w:t>
      </w:r>
      <w:r>
        <w:rPr>
          <w:rFonts w:hint="eastAsia" w:ascii="宋体" w:hAnsi="宋体" w:cs="宋体"/>
          <w:szCs w:val="21"/>
        </w:rPr>
        <w:t xml:space="preserve">                       项目名称：</w:t>
      </w:r>
      <w:r>
        <w:rPr>
          <w:rFonts w:hint="eastAsia" w:ascii="宋体" w:hAnsi="宋体" w:cs="宋体"/>
          <w:kern w:val="0"/>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包号：</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包名称：</w:t>
      </w:r>
      <w:r>
        <w:rPr>
          <w:rFonts w:hint="eastAsia" w:ascii="宋体" w:hAnsi="宋体" w:cs="宋体"/>
          <w:kern w:val="0"/>
          <w:szCs w:val="21"/>
          <w:u w:val="single"/>
        </w:rPr>
        <w:t xml:space="preserve">              </w:t>
      </w:r>
    </w:p>
    <w:tbl>
      <w:tblPr>
        <w:tblStyle w:val="47"/>
        <w:tblW w:w="8874" w:type="dxa"/>
        <w:tblInd w:w="0" w:type="dxa"/>
        <w:tblLayout w:type="fixed"/>
        <w:tblCellMar>
          <w:top w:w="0" w:type="dxa"/>
          <w:left w:w="0" w:type="dxa"/>
          <w:bottom w:w="0" w:type="dxa"/>
          <w:right w:w="0" w:type="dxa"/>
        </w:tblCellMar>
      </w:tblPr>
      <w:tblGrid>
        <w:gridCol w:w="333"/>
        <w:gridCol w:w="1383"/>
        <w:gridCol w:w="2448"/>
        <w:gridCol w:w="1970"/>
        <w:gridCol w:w="910"/>
        <w:gridCol w:w="916"/>
        <w:gridCol w:w="914"/>
      </w:tblGrid>
      <w:tr>
        <w:tblPrEx>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ascii="宋体" w:hAnsi="宋体" w:cs="宋体"/>
                <w:kern w:val="0"/>
                <w:position w:val="-1"/>
                <w:szCs w:val="21"/>
              </w:rPr>
            </w:pPr>
            <w:r>
              <w:rPr>
                <w:rFonts w:hint="eastAsia" w:ascii="宋体" w:hAnsi="宋体" w:cs="宋体"/>
                <w:kern w:val="0"/>
                <w:position w:val="-1"/>
                <w:szCs w:val="21"/>
              </w:rPr>
              <w:t>分项项目名称</w:t>
            </w:r>
          </w:p>
        </w:tc>
        <w:tc>
          <w:tcPr>
            <w:tcW w:w="2448"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hint="eastAsia" w:ascii="宋体" w:hAnsi="宋体" w:eastAsia="宋体" w:cs="宋体"/>
                <w:szCs w:val="21"/>
                <w:lang w:eastAsia="zh-CN"/>
              </w:rPr>
            </w:pPr>
            <w:r>
              <w:rPr>
                <w:rFonts w:hint="eastAsia" w:ascii="宋体" w:hAnsi="宋体" w:cs="宋体"/>
                <w:szCs w:val="21"/>
                <w:lang w:eastAsia="zh-CN"/>
              </w:rPr>
              <w:t>项目分项名称</w:t>
            </w:r>
          </w:p>
        </w:tc>
        <w:tc>
          <w:tcPr>
            <w:tcW w:w="1970" w:type="dxa"/>
            <w:vMerge w:val="restart"/>
            <w:tcBorders>
              <w:top w:val="double" w:color="auto" w:sz="4" w:space="0"/>
              <w:left w:val="single" w:color="auto" w:sz="4" w:space="0"/>
              <w:right w:val="single" w:color="auto" w:sz="4" w:space="0"/>
            </w:tcBorders>
            <w:vAlign w:val="center"/>
          </w:tcPr>
          <w:p>
            <w:pPr>
              <w:autoSpaceDE w:val="0"/>
              <w:autoSpaceDN w:val="0"/>
              <w:adjustRightInd w:val="0"/>
              <w:snapToGrid w:val="0"/>
              <w:spacing w:line="360" w:lineRule="auto"/>
              <w:ind w:right="-20"/>
              <w:jc w:val="center"/>
              <w:rPr>
                <w:rFonts w:ascii="宋体" w:hAnsi="宋体" w:cs="宋体"/>
                <w:kern w:val="0"/>
                <w:position w:val="-1"/>
                <w:szCs w:val="21"/>
              </w:rPr>
            </w:pPr>
            <w:r>
              <w:rPr>
                <w:rFonts w:hint="eastAsia" w:ascii="宋体" w:hAnsi="宋体" w:cs="宋体"/>
                <w:kern w:val="0"/>
                <w:szCs w:val="21"/>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cs="宋体"/>
                <w:kern w:val="0"/>
                <w:position w:val="-1"/>
                <w:szCs w:val="21"/>
              </w:rPr>
            </w:pPr>
            <w:r>
              <w:rPr>
                <w:rFonts w:hint="eastAsia" w:ascii="宋体" w:hAnsi="宋体" w:cs="宋体"/>
                <w:kern w:val="0"/>
                <w:position w:val="-1"/>
                <w:szCs w:val="21"/>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ascii="宋体" w:hAnsi="宋体" w:cs="宋体"/>
                <w:kern w:val="0"/>
                <w:position w:val="-1"/>
                <w:szCs w:val="21"/>
              </w:rPr>
            </w:pPr>
            <w:r>
              <w:rPr>
                <w:rFonts w:hint="eastAsia" w:ascii="宋体" w:hAnsi="宋体" w:cs="宋体"/>
                <w:kern w:val="0"/>
                <w:position w:val="-1"/>
                <w:szCs w:val="21"/>
              </w:rPr>
              <w:t>备注</w:t>
            </w:r>
          </w:p>
        </w:tc>
      </w:tr>
      <w:tr>
        <w:tblPrEx>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tcPr>
          <w:p>
            <w:pPr>
              <w:autoSpaceDE w:val="0"/>
              <w:autoSpaceDN w:val="0"/>
              <w:adjustRightInd w:val="0"/>
              <w:snapToGrid w:val="0"/>
              <w:spacing w:line="360" w:lineRule="auto"/>
              <w:ind w:left="352" w:right="-20"/>
              <w:jc w:val="left"/>
              <w:rPr>
                <w:rFonts w:ascii="宋体" w:hAnsi="宋体" w:cs="宋体"/>
                <w:kern w:val="0"/>
                <w:szCs w:val="21"/>
              </w:rPr>
            </w:pPr>
          </w:p>
        </w:tc>
        <w:tc>
          <w:tcPr>
            <w:tcW w:w="2448"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s="宋体"/>
                <w:kern w:val="0"/>
                <w:szCs w:val="21"/>
              </w:rPr>
            </w:pPr>
          </w:p>
        </w:tc>
        <w:tc>
          <w:tcPr>
            <w:tcW w:w="1970" w:type="dxa"/>
            <w:vMerge w:val="continue"/>
            <w:tcBorders>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s="宋体"/>
                <w:kern w:val="0"/>
                <w:szCs w:val="21"/>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s="宋体"/>
                <w:kern w:val="0"/>
                <w:szCs w:val="21"/>
              </w:rPr>
            </w:pPr>
            <w:r>
              <w:rPr>
                <w:rFonts w:hint="eastAsia" w:ascii="宋体" w:hAnsi="宋体" w:cs="宋体"/>
                <w:kern w:val="0"/>
                <w:position w:val="-1"/>
                <w:szCs w:val="21"/>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宋体" w:hAnsi="宋体" w:cs="宋体"/>
                <w:kern w:val="0"/>
                <w:szCs w:val="21"/>
              </w:rPr>
            </w:pPr>
            <w:r>
              <w:rPr>
                <w:rFonts w:hint="eastAsia" w:ascii="宋体" w:hAnsi="宋体" w:cs="宋体"/>
                <w:kern w:val="0"/>
                <w:szCs w:val="21"/>
              </w:rPr>
              <w:t>小计</w:t>
            </w:r>
          </w:p>
        </w:tc>
        <w:tc>
          <w:tcPr>
            <w:tcW w:w="914" w:type="dxa"/>
            <w:vMerge w:val="continue"/>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ind w:left="422" w:right="-20"/>
              <w:jc w:val="left"/>
              <w:rPr>
                <w:rFonts w:ascii="宋体" w:hAnsi="宋体" w:cs="宋体"/>
                <w:kern w:val="0"/>
                <w:szCs w:val="21"/>
              </w:rPr>
            </w:pPr>
          </w:p>
        </w:tc>
      </w:tr>
      <w:tr>
        <w:tblPrEx>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cs="宋体"/>
                <w:kern w:val="0"/>
                <w:szCs w:val="21"/>
              </w:rPr>
            </w:pPr>
          </w:p>
        </w:tc>
        <w:tc>
          <w:tcPr>
            <w:tcW w:w="2448"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1970"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cs="宋体"/>
                <w:kern w:val="0"/>
                <w:szCs w:val="21"/>
              </w:rPr>
            </w:pPr>
          </w:p>
        </w:tc>
        <w:tc>
          <w:tcPr>
            <w:tcW w:w="2448"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1970"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cs="宋体"/>
                <w:kern w:val="0"/>
                <w:szCs w:val="21"/>
              </w:rPr>
            </w:pPr>
          </w:p>
        </w:tc>
        <w:tc>
          <w:tcPr>
            <w:tcW w:w="2448"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1970"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cs="宋体"/>
                <w:kern w:val="0"/>
                <w:szCs w:val="21"/>
              </w:rPr>
            </w:pPr>
          </w:p>
        </w:tc>
        <w:tc>
          <w:tcPr>
            <w:tcW w:w="2448"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1970"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cs="宋体"/>
                <w:kern w:val="0"/>
                <w:szCs w:val="21"/>
              </w:rPr>
            </w:pPr>
          </w:p>
        </w:tc>
        <w:tc>
          <w:tcPr>
            <w:tcW w:w="2448"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1970"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w:t>
            </w:r>
          </w:p>
        </w:tc>
        <w:tc>
          <w:tcPr>
            <w:tcW w:w="138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ind w:left="527" w:right="507"/>
              <w:jc w:val="center"/>
              <w:rPr>
                <w:rFonts w:ascii="宋体" w:hAnsi="宋体" w:cs="宋体"/>
                <w:kern w:val="0"/>
                <w:szCs w:val="21"/>
              </w:rPr>
            </w:pPr>
          </w:p>
        </w:tc>
        <w:tc>
          <w:tcPr>
            <w:tcW w:w="2448"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1970"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cs="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15" w:hRule="exact"/>
        </w:trPr>
        <w:tc>
          <w:tcPr>
            <w:tcW w:w="7044" w:type="dxa"/>
            <w:gridSpan w:val="5"/>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宋体" w:hAnsi="宋体" w:cs="宋体"/>
                <w:kern w:val="0"/>
                <w:szCs w:val="21"/>
              </w:rPr>
            </w:pPr>
            <w:r>
              <w:rPr>
                <w:rFonts w:hint="eastAsia" w:ascii="宋体" w:hAnsi="宋体" w:cs="宋体"/>
                <w:kern w:val="0"/>
                <w:position w:val="-1"/>
                <w:szCs w:val="21"/>
              </w:rPr>
              <w:t>报价合计（投标总价）（元）</w:t>
            </w:r>
          </w:p>
        </w:tc>
        <w:tc>
          <w:tcPr>
            <w:tcW w:w="916" w:type="dxa"/>
            <w:tcBorders>
              <w:top w:val="single" w:color="auto" w:sz="6" w:space="0"/>
              <w:left w:val="single" w:color="auto" w:sz="6" w:space="0"/>
              <w:bottom w:val="double" w:color="auto" w:sz="4" w:space="0"/>
              <w:right w:val="single" w:color="auto" w:sz="6" w:space="0"/>
            </w:tcBorders>
          </w:tcPr>
          <w:p>
            <w:pPr>
              <w:autoSpaceDE w:val="0"/>
              <w:autoSpaceDN w:val="0"/>
              <w:adjustRightInd w:val="0"/>
              <w:snapToGrid w:val="0"/>
              <w:spacing w:line="360" w:lineRule="auto"/>
              <w:jc w:val="left"/>
              <w:rPr>
                <w:rFonts w:ascii="宋体" w:hAnsi="宋体" w:cs="宋体"/>
                <w:kern w:val="0"/>
                <w:szCs w:val="21"/>
              </w:rPr>
            </w:pPr>
          </w:p>
        </w:tc>
        <w:tc>
          <w:tcPr>
            <w:tcW w:w="914" w:type="dxa"/>
            <w:tcBorders>
              <w:top w:val="single" w:color="auto" w:sz="6" w:space="0"/>
              <w:left w:val="single" w:color="auto" w:sz="6" w:space="0"/>
              <w:bottom w:val="double" w:color="auto" w:sz="4" w:space="0"/>
              <w:right w:val="double" w:color="auto" w:sz="4" w:space="0"/>
            </w:tcBorders>
          </w:tcPr>
          <w:p>
            <w:pPr>
              <w:autoSpaceDE w:val="0"/>
              <w:autoSpaceDN w:val="0"/>
              <w:adjustRightInd w:val="0"/>
              <w:snapToGrid w:val="0"/>
              <w:spacing w:line="360" w:lineRule="auto"/>
              <w:jc w:val="left"/>
              <w:rPr>
                <w:rFonts w:ascii="宋体" w:hAnsi="宋体" w:cs="宋体"/>
                <w:kern w:val="0"/>
                <w:szCs w:val="21"/>
              </w:rPr>
            </w:pPr>
          </w:p>
        </w:tc>
      </w:tr>
    </w:tbl>
    <w:p>
      <w:pPr>
        <w:adjustRightInd w:val="0"/>
        <w:snapToGrid w:val="0"/>
        <w:spacing w:line="360" w:lineRule="auto"/>
        <w:rPr>
          <w:rFonts w:ascii="宋体" w:hAnsi="宋体" w:cs="宋体"/>
          <w:szCs w:val="21"/>
        </w:rPr>
      </w:pPr>
      <w:r>
        <w:rPr>
          <w:rFonts w:hint="eastAsia" w:ascii="宋体" w:hAnsi="宋体" w:cs="宋体"/>
          <w:szCs w:val="21"/>
        </w:rPr>
        <w:t>备注：（1）</w:t>
      </w:r>
      <w:r>
        <w:rPr>
          <w:rFonts w:hint="eastAsia" w:ascii="宋体" w:hAnsi="宋体" w:cs="宋体"/>
          <w:b/>
          <w:szCs w:val="21"/>
        </w:rPr>
        <w:t>本表应对应</w:t>
      </w:r>
      <w:r>
        <w:rPr>
          <w:rFonts w:hint="eastAsia" w:ascii="宋体" w:hAnsi="宋体" w:cs="宋体"/>
          <w:szCs w:val="21"/>
        </w:rPr>
        <w:t>“</w:t>
      </w:r>
      <w:r>
        <w:rPr>
          <w:rFonts w:hint="eastAsia" w:ascii="宋体" w:hAnsi="宋体" w:cs="宋体"/>
          <w:b/>
          <w:szCs w:val="21"/>
        </w:rPr>
        <w:t>开标一览表</w:t>
      </w:r>
      <w:r>
        <w:rPr>
          <w:rFonts w:hint="eastAsia" w:ascii="宋体" w:hAnsi="宋体" w:cs="宋体"/>
          <w:szCs w:val="21"/>
        </w:rPr>
        <w:t>”</w:t>
      </w:r>
      <w:r>
        <w:rPr>
          <w:rFonts w:hint="eastAsia" w:ascii="宋体" w:hAnsi="宋体" w:cs="宋体"/>
          <w:b/>
          <w:szCs w:val="21"/>
        </w:rPr>
        <w:t>，按包填写</w:t>
      </w:r>
      <w:r>
        <w:rPr>
          <w:rFonts w:hint="eastAsia" w:ascii="宋体" w:hAnsi="宋体" w:cs="宋体"/>
          <w:szCs w:val="21"/>
        </w:rPr>
        <w:t>。投标人如果不提供分项报价明细表，其投标无效。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（2）不得填写“免费”或“赠与”，也不得进行“零”报价，否则投标无效。</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szCs w:val="21"/>
        </w:rPr>
        <w:t>（3）投标人在提交投标文件的截止时间前修改“开标一览表”中的投标报价的，本表相应内容应同时修改。否则，分项报价按投标报价修改的相同比例进行调整，其风险由投标人自已承担。</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投标人名称（盖单位章）：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法定代表人或其授权的代理人（签字或印章）：</w:t>
      </w:r>
    </w:p>
    <w:p>
      <w:pPr>
        <w:adjustRightInd w:val="0"/>
        <w:snapToGrid w:val="0"/>
        <w:spacing w:line="360" w:lineRule="auto"/>
        <w:rPr>
          <w:rFonts w:ascii="宋体" w:hAnsi="宋体" w:cs="宋体"/>
          <w:szCs w:val="21"/>
        </w:rPr>
      </w:pPr>
      <w:r>
        <w:rPr>
          <w:rFonts w:hint="eastAsia" w:ascii="宋体" w:hAnsi="宋体" w:cs="宋体"/>
          <w:szCs w:val="21"/>
        </w:rPr>
        <w:t>日期：年月日</w:t>
      </w:r>
    </w:p>
    <w:p>
      <w:pPr>
        <w:rPr>
          <w:rFonts w:ascii="宋体" w:hAnsi="宋体" w:cs="宋体"/>
        </w:rPr>
      </w:pPr>
      <w:r>
        <w:rPr>
          <w:rFonts w:hint="eastAsia" w:ascii="宋体" w:hAnsi="宋体" w:cs="宋体"/>
        </w:rPr>
        <w:br w:type="page"/>
      </w:r>
    </w:p>
    <w:p>
      <w:pPr>
        <w:pStyle w:val="10"/>
        <w:jc w:val="left"/>
        <w:rPr>
          <w:rFonts w:ascii="宋体" w:hAnsi="宋体" w:eastAsia="宋体" w:cs="宋体"/>
          <w:b w:val="0"/>
          <w:sz w:val="21"/>
          <w:szCs w:val="21"/>
        </w:rPr>
      </w:pPr>
      <w:bookmarkStart w:id="304" w:name="_Toc1226"/>
      <w:r>
        <w:rPr>
          <w:rFonts w:hint="eastAsia" w:ascii="宋体" w:hAnsi="宋体" w:eastAsia="宋体" w:cs="宋体"/>
          <w:b w:val="0"/>
          <w:bCs w:val="0"/>
          <w:spacing w:val="6"/>
          <w:kern w:val="0"/>
          <w:sz w:val="21"/>
          <w:szCs w:val="21"/>
        </w:rPr>
        <w:t xml:space="preserve">附件6-3 </w:t>
      </w:r>
      <w:r>
        <w:rPr>
          <w:rFonts w:hint="eastAsia" w:ascii="宋体" w:hAnsi="宋体" w:eastAsia="宋体" w:cs="宋体"/>
          <w:b w:val="0"/>
          <w:sz w:val="21"/>
          <w:szCs w:val="21"/>
        </w:rPr>
        <w:t>政府采购价格评审优惠清单报价表</w:t>
      </w:r>
      <w:bookmarkEnd w:id="304"/>
    </w:p>
    <w:p>
      <w:pPr>
        <w:widowControl/>
        <w:adjustRightInd w:val="0"/>
        <w:snapToGrid w:val="0"/>
        <w:spacing w:line="360" w:lineRule="auto"/>
        <w:jc w:val="center"/>
        <w:rPr>
          <w:rFonts w:ascii="宋体" w:hAnsi="宋体" w:cs="宋体"/>
          <w:b/>
          <w:sz w:val="28"/>
          <w:szCs w:val="28"/>
        </w:rPr>
      </w:pPr>
      <w:r>
        <w:rPr>
          <w:rFonts w:hint="eastAsia" w:ascii="宋体" w:hAnsi="宋体" w:cs="宋体"/>
          <w:b/>
          <w:sz w:val="28"/>
          <w:szCs w:val="28"/>
        </w:rPr>
        <w:t>政府采购价格评审优惠清单报价表</w:t>
      </w:r>
    </w:p>
    <w:p>
      <w:pPr>
        <w:widowControl/>
        <w:adjustRightInd w:val="0"/>
        <w:snapToGrid w:val="0"/>
        <w:spacing w:line="360" w:lineRule="auto"/>
        <w:jc w:val="center"/>
        <w:rPr>
          <w:rFonts w:ascii="宋体" w:hAnsi="宋体" w:cs="宋体"/>
          <w:b/>
          <w:spacing w:val="6"/>
          <w:kern w:val="0"/>
          <w:szCs w:val="21"/>
        </w:rPr>
      </w:pPr>
      <w:r>
        <w:rPr>
          <w:rFonts w:hint="eastAsia" w:ascii="宋体" w:hAnsi="宋体" w:cs="宋体"/>
          <w:b/>
          <w:spacing w:val="6"/>
          <w:kern w:val="0"/>
          <w:szCs w:val="21"/>
        </w:rPr>
        <w:t>(提供本章第十节附件10-1或者附件10-2或者附件10-3证明资料的填写)</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采购代理编号：</w:t>
      </w:r>
      <w:r>
        <w:rPr>
          <w:rFonts w:hint="eastAsia" w:ascii="宋体" w:hAnsi="宋体" w:cs="宋体"/>
          <w:kern w:val="0"/>
          <w:szCs w:val="21"/>
          <w:u w:val="single"/>
        </w:rPr>
        <w:t xml:space="preserve">              </w:t>
      </w:r>
      <w:r>
        <w:rPr>
          <w:rFonts w:hint="eastAsia" w:ascii="宋体" w:hAnsi="宋体" w:cs="宋体"/>
          <w:szCs w:val="21"/>
        </w:rPr>
        <w:t xml:space="preserve">                       项目名称：</w:t>
      </w:r>
      <w:r>
        <w:rPr>
          <w:rFonts w:hint="eastAsia" w:ascii="宋体" w:hAnsi="宋体" w:cs="宋体"/>
          <w:kern w:val="0"/>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包号：</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包名称：</w:t>
      </w:r>
      <w:r>
        <w:rPr>
          <w:rFonts w:hint="eastAsia" w:ascii="宋体" w:hAnsi="宋体" w:cs="宋体"/>
          <w:kern w:val="0"/>
          <w:szCs w:val="21"/>
          <w:u w:val="single"/>
        </w:rPr>
        <w:t xml:space="preserve">              </w:t>
      </w:r>
    </w:p>
    <w:tbl>
      <w:tblPr>
        <w:tblStyle w:val="47"/>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1701"/>
        <w:gridCol w:w="1866"/>
        <w:gridCol w:w="2103"/>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789" w:type="dxa"/>
            <w:gridSpan w:val="6"/>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本单位对本表的真实性负责。如有虚假，将依法承担相应责任。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2</w:t>
            </w:r>
          </w:p>
        </w:tc>
        <w:tc>
          <w:tcPr>
            <w:tcW w:w="1701"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3</w:t>
            </w:r>
          </w:p>
        </w:tc>
        <w:tc>
          <w:tcPr>
            <w:tcW w:w="1866"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4</w:t>
            </w:r>
          </w:p>
        </w:tc>
        <w:tc>
          <w:tcPr>
            <w:tcW w:w="2103"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5</w:t>
            </w:r>
          </w:p>
        </w:tc>
        <w:tc>
          <w:tcPr>
            <w:tcW w:w="1276"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序号</w:t>
            </w:r>
          </w:p>
        </w:tc>
        <w:tc>
          <w:tcPr>
            <w:tcW w:w="1134"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货物名称</w:t>
            </w:r>
          </w:p>
        </w:tc>
        <w:tc>
          <w:tcPr>
            <w:tcW w:w="1701"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价格（元）</w:t>
            </w:r>
          </w:p>
        </w:tc>
        <w:tc>
          <w:tcPr>
            <w:tcW w:w="1866"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货物制造商名称</w:t>
            </w:r>
          </w:p>
        </w:tc>
        <w:tc>
          <w:tcPr>
            <w:tcW w:w="2103"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货物制造商类型</w:t>
            </w:r>
          </w:p>
        </w:tc>
        <w:tc>
          <w:tcPr>
            <w:tcW w:w="1276"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cs="宋体"/>
                <w:szCs w:val="21"/>
              </w:rPr>
            </w:pPr>
          </w:p>
        </w:tc>
        <w:tc>
          <w:tcPr>
            <w:tcW w:w="1134" w:type="dxa"/>
            <w:vAlign w:val="center"/>
          </w:tcPr>
          <w:p>
            <w:pPr>
              <w:adjustRightInd w:val="0"/>
              <w:snapToGrid w:val="0"/>
              <w:spacing w:line="360" w:lineRule="auto"/>
              <w:jc w:val="center"/>
              <w:rPr>
                <w:rFonts w:ascii="宋体" w:hAnsi="宋体" w:cs="宋体"/>
                <w:szCs w:val="21"/>
              </w:rPr>
            </w:pPr>
          </w:p>
        </w:tc>
        <w:tc>
          <w:tcPr>
            <w:tcW w:w="1701" w:type="dxa"/>
            <w:vAlign w:val="center"/>
          </w:tcPr>
          <w:p>
            <w:pPr>
              <w:adjustRightInd w:val="0"/>
              <w:snapToGrid w:val="0"/>
              <w:spacing w:line="360" w:lineRule="auto"/>
              <w:jc w:val="center"/>
              <w:rPr>
                <w:rFonts w:ascii="宋体" w:hAnsi="宋体" w:cs="宋体"/>
                <w:szCs w:val="21"/>
              </w:rPr>
            </w:pPr>
          </w:p>
        </w:tc>
        <w:tc>
          <w:tcPr>
            <w:tcW w:w="1866" w:type="dxa"/>
            <w:vAlign w:val="center"/>
          </w:tcPr>
          <w:p>
            <w:pPr>
              <w:adjustRightInd w:val="0"/>
              <w:snapToGrid w:val="0"/>
              <w:spacing w:line="360" w:lineRule="auto"/>
              <w:jc w:val="center"/>
              <w:rPr>
                <w:rFonts w:ascii="宋体" w:hAnsi="宋体" w:cs="宋体"/>
                <w:szCs w:val="21"/>
              </w:rPr>
            </w:pPr>
          </w:p>
        </w:tc>
        <w:tc>
          <w:tcPr>
            <w:tcW w:w="2103" w:type="dxa"/>
          </w:tcPr>
          <w:p>
            <w:pPr>
              <w:adjustRightInd w:val="0"/>
              <w:snapToGrid w:val="0"/>
              <w:spacing w:line="360" w:lineRule="auto"/>
              <w:jc w:val="center"/>
              <w:rPr>
                <w:rFonts w:ascii="宋体" w:hAnsi="宋体" w:cs="宋体"/>
                <w:szCs w:val="21"/>
              </w:rPr>
            </w:pPr>
          </w:p>
        </w:tc>
        <w:tc>
          <w:tcPr>
            <w:tcW w:w="12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cs="宋体"/>
                <w:szCs w:val="21"/>
              </w:rPr>
            </w:pPr>
          </w:p>
        </w:tc>
        <w:tc>
          <w:tcPr>
            <w:tcW w:w="1134" w:type="dxa"/>
            <w:vAlign w:val="center"/>
          </w:tcPr>
          <w:p>
            <w:pPr>
              <w:adjustRightInd w:val="0"/>
              <w:snapToGrid w:val="0"/>
              <w:spacing w:line="360" w:lineRule="auto"/>
              <w:jc w:val="center"/>
              <w:rPr>
                <w:rFonts w:ascii="宋体" w:hAnsi="宋体" w:cs="宋体"/>
                <w:szCs w:val="21"/>
              </w:rPr>
            </w:pPr>
          </w:p>
        </w:tc>
        <w:tc>
          <w:tcPr>
            <w:tcW w:w="1701" w:type="dxa"/>
            <w:vAlign w:val="center"/>
          </w:tcPr>
          <w:p>
            <w:pPr>
              <w:adjustRightInd w:val="0"/>
              <w:snapToGrid w:val="0"/>
              <w:spacing w:line="360" w:lineRule="auto"/>
              <w:jc w:val="center"/>
              <w:rPr>
                <w:rFonts w:ascii="宋体" w:hAnsi="宋体" w:cs="宋体"/>
                <w:szCs w:val="21"/>
              </w:rPr>
            </w:pPr>
          </w:p>
        </w:tc>
        <w:tc>
          <w:tcPr>
            <w:tcW w:w="1866" w:type="dxa"/>
            <w:vAlign w:val="center"/>
          </w:tcPr>
          <w:p>
            <w:pPr>
              <w:adjustRightInd w:val="0"/>
              <w:snapToGrid w:val="0"/>
              <w:spacing w:line="360" w:lineRule="auto"/>
              <w:jc w:val="center"/>
              <w:rPr>
                <w:rFonts w:ascii="宋体" w:hAnsi="宋体" w:cs="宋体"/>
                <w:szCs w:val="21"/>
              </w:rPr>
            </w:pPr>
          </w:p>
        </w:tc>
        <w:tc>
          <w:tcPr>
            <w:tcW w:w="2103" w:type="dxa"/>
          </w:tcPr>
          <w:p>
            <w:pPr>
              <w:adjustRightInd w:val="0"/>
              <w:snapToGrid w:val="0"/>
              <w:spacing w:line="360" w:lineRule="auto"/>
              <w:jc w:val="center"/>
              <w:rPr>
                <w:rFonts w:ascii="宋体" w:hAnsi="宋体" w:cs="宋体"/>
                <w:szCs w:val="21"/>
              </w:rPr>
            </w:pPr>
          </w:p>
        </w:tc>
        <w:tc>
          <w:tcPr>
            <w:tcW w:w="12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小计</w:t>
            </w:r>
          </w:p>
        </w:tc>
        <w:tc>
          <w:tcPr>
            <w:tcW w:w="1134" w:type="dxa"/>
            <w:vAlign w:val="center"/>
          </w:tcPr>
          <w:p>
            <w:pPr>
              <w:adjustRightInd w:val="0"/>
              <w:snapToGrid w:val="0"/>
              <w:spacing w:line="360" w:lineRule="auto"/>
              <w:jc w:val="center"/>
              <w:rPr>
                <w:rFonts w:ascii="宋体" w:hAnsi="宋体" w:cs="宋体"/>
                <w:szCs w:val="21"/>
              </w:rPr>
            </w:pPr>
            <w:r>
              <w:rPr>
                <w:rFonts w:hint="eastAsia" w:ascii="宋体" w:hAnsi="宋体" w:cs="宋体"/>
                <w:b/>
                <w:szCs w:val="21"/>
              </w:rPr>
              <w:t>/</w:t>
            </w:r>
          </w:p>
        </w:tc>
        <w:tc>
          <w:tcPr>
            <w:tcW w:w="1701" w:type="dxa"/>
            <w:vAlign w:val="center"/>
          </w:tcPr>
          <w:p>
            <w:pPr>
              <w:adjustRightInd w:val="0"/>
              <w:snapToGrid w:val="0"/>
              <w:spacing w:line="360" w:lineRule="auto"/>
              <w:jc w:val="center"/>
              <w:rPr>
                <w:rFonts w:ascii="宋体" w:hAnsi="宋体" w:cs="宋体"/>
                <w:szCs w:val="21"/>
              </w:rPr>
            </w:pPr>
          </w:p>
        </w:tc>
        <w:tc>
          <w:tcPr>
            <w:tcW w:w="1866" w:type="dxa"/>
            <w:vAlign w:val="center"/>
          </w:tcPr>
          <w:p>
            <w:pPr>
              <w:adjustRightInd w:val="0"/>
              <w:snapToGrid w:val="0"/>
              <w:spacing w:line="360" w:lineRule="auto"/>
              <w:jc w:val="center"/>
              <w:rPr>
                <w:rFonts w:ascii="宋体" w:hAnsi="宋体" w:cs="宋体"/>
                <w:szCs w:val="21"/>
              </w:rPr>
            </w:pPr>
            <w:r>
              <w:rPr>
                <w:rFonts w:hint="eastAsia" w:ascii="宋体" w:hAnsi="宋体" w:cs="宋体"/>
                <w:b/>
                <w:szCs w:val="21"/>
              </w:rPr>
              <w:t>/</w:t>
            </w:r>
          </w:p>
        </w:tc>
        <w:tc>
          <w:tcPr>
            <w:tcW w:w="2103" w:type="dxa"/>
            <w:vAlign w:val="center"/>
          </w:tcPr>
          <w:p>
            <w:pPr>
              <w:adjustRightInd w:val="0"/>
              <w:snapToGrid w:val="0"/>
              <w:spacing w:line="360" w:lineRule="auto"/>
              <w:jc w:val="center"/>
              <w:rPr>
                <w:rFonts w:ascii="宋体" w:hAnsi="宋体" w:cs="宋体"/>
                <w:szCs w:val="21"/>
              </w:rPr>
            </w:pPr>
            <w:r>
              <w:rPr>
                <w:rFonts w:hint="eastAsia" w:ascii="宋体" w:hAnsi="宋体" w:cs="宋体"/>
                <w:b/>
                <w:szCs w:val="21"/>
              </w:rPr>
              <w:t>/</w:t>
            </w:r>
          </w:p>
        </w:tc>
        <w:tc>
          <w:tcPr>
            <w:tcW w:w="1276" w:type="dxa"/>
            <w:vAlign w:val="center"/>
          </w:tcPr>
          <w:p>
            <w:pPr>
              <w:adjustRightInd w:val="0"/>
              <w:snapToGrid w:val="0"/>
              <w:spacing w:line="360" w:lineRule="auto"/>
              <w:jc w:val="center"/>
              <w:rPr>
                <w:rFonts w:ascii="宋体" w:hAnsi="宋体" w:cs="宋体"/>
                <w:szCs w:val="21"/>
              </w:rPr>
            </w:pPr>
            <w:r>
              <w:rPr>
                <w:rFonts w:hint="eastAsia" w:ascii="宋体" w:hAnsi="宋体" w:cs="宋体"/>
                <w:b/>
                <w:szCs w:val="21"/>
              </w:rPr>
              <w:t>/</w:t>
            </w:r>
          </w:p>
        </w:tc>
      </w:tr>
    </w:tbl>
    <w:p>
      <w:pPr>
        <w:adjustRightInd w:val="0"/>
        <w:snapToGrid w:val="0"/>
        <w:spacing w:line="360" w:lineRule="auto"/>
        <w:rPr>
          <w:rFonts w:ascii="宋体" w:hAnsi="宋体" w:cs="宋体"/>
          <w:szCs w:val="21"/>
        </w:rPr>
      </w:pPr>
      <w:r>
        <w:rPr>
          <w:rFonts w:hint="eastAsia" w:ascii="宋体" w:hAnsi="宋体" w:cs="宋体"/>
          <w:szCs w:val="21"/>
        </w:rPr>
        <w:t>说明：1、本表用于计算政府采购价格评审优惠（小微企业或者监狱企业或者残疾人福利性单位）应享受的政府采购政策价格扣除。</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2、栏目3“价格”为综合单价，包含该货物所有隐含的内容，如运输费、保险费、管理费和利润等。</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3、货物制造商类型填写小型、微型，或者监狱企业或者残疾人福利性单位。</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4、投标人在提交投标文件的截止时间前修改“开标一览表”中的投标总价的，涉及本表相应内容应同时修改。未按上述要求填写的，评审时本表所有优惠不予以考虑。</w:t>
      </w:r>
    </w:p>
    <w:p>
      <w:pPr>
        <w:adjustRightInd w:val="0"/>
        <w:snapToGrid w:val="0"/>
        <w:spacing w:line="360" w:lineRule="auto"/>
        <w:ind w:firstLine="630" w:firstLineChars="300"/>
        <w:rPr>
          <w:rFonts w:ascii="宋体" w:hAnsi="宋体" w:cs="宋体"/>
          <w:szCs w:val="21"/>
        </w:rPr>
      </w:pPr>
    </w:p>
    <w:p>
      <w:pPr>
        <w:adjustRightInd w:val="0"/>
        <w:snapToGrid w:val="0"/>
        <w:spacing w:line="360" w:lineRule="auto"/>
        <w:ind w:firstLine="630" w:firstLineChars="300"/>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投标人名称（盖单位章）：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法定代表人或其委托代理人（签字或印章）：</w:t>
      </w:r>
    </w:p>
    <w:p>
      <w:pPr>
        <w:adjustRightInd w:val="0"/>
        <w:snapToGrid w:val="0"/>
        <w:spacing w:line="360" w:lineRule="auto"/>
        <w:rPr>
          <w:rFonts w:ascii="宋体" w:hAnsi="宋体" w:cs="宋体"/>
          <w:szCs w:val="21"/>
        </w:rPr>
      </w:pPr>
      <w:r>
        <w:rPr>
          <w:rFonts w:hint="eastAsia" w:ascii="宋体" w:hAnsi="宋体" w:cs="宋体"/>
          <w:szCs w:val="21"/>
        </w:rPr>
        <w:t>日期：年月日</w:t>
      </w: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br w:type="page"/>
      </w:r>
    </w:p>
    <w:p>
      <w:pPr>
        <w:pStyle w:val="10"/>
        <w:jc w:val="left"/>
        <w:rPr>
          <w:rFonts w:ascii="宋体" w:hAnsi="宋体" w:eastAsia="宋体" w:cs="宋体"/>
          <w:b w:val="0"/>
          <w:sz w:val="21"/>
          <w:szCs w:val="21"/>
        </w:rPr>
      </w:pPr>
      <w:bookmarkStart w:id="305" w:name="_Toc17812"/>
      <w:r>
        <w:rPr>
          <w:rFonts w:hint="eastAsia" w:ascii="宋体" w:hAnsi="宋体" w:eastAsia="宋体" w:cs="宋体"/>
          <w:b w:val="0"/>
          <w:bCs w:val="0"/>
          <w:spacing w:val="6"/>
          <w:kern w:val="0"/>
          <w:sz w:val="21"/>
          <w:szCs w:val="21"/>
        </w:rPr>
        <w:t xml:space="preserve">附件6-4 </w:t>
      </w:r>
      <w:r>
        <w:rPr>
          <w:rFonts w:hint="eastAsia" w:ascii="宋体" w:hAnsi="宋体" w:eastAsia="宋体" w:cs="宋体"/>
          <w:b w:val="0"/>
          <w:sz w:val="21"/>
          <w:szCs w:val="21"/>
        </w:rPr>
        <w:t>政府采购优先采购清单报价表</w:t>
      </w:r>
      <w:bookmarkEnd w:id="305"/>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政府采购优先采购清单报价表</w:t>
      </w:r>
    </w:p>
    <w:p>
      <w:pPr>
        <w:adjustRightInd w:val="0"/>
        <w:snapToGrid w:val="0"/>
        <w:spacing w:line="360" w:lineRule="auto"/>
        <w:jc w:val="center"/>
        <w:rPr>
          <w:rFonts w:ascii="宋体" w:hAnsi="宋体" w:cs="宋体"/>
          <w:b/>
          <w:spacing w:val="6"/>
          <w:szCs w:val="21"/>
        </w:rPr>
      </w:pPr>
      <w:r>
        <w:rPr>
          <w:rFonts w:hint="eastAsia" w:ascii="宋体" w:hAnsi="宋体" w:cs="宋体"/>
          <w:b/>
          <w:spacing w:val="6"/>
          <w:szCs w:val="21"/>
        </w:rPr>
        <w:t>(提供本章第</w:t>
      </w:r>
      <w:r>
        <w:rPr>
          <w:rFonts w:hint="eastAsia" w:ascii="宋体" w:hAnsi="宋体" w:cs="宋体"/>
          <w:b/>
          <w:spacing w:val="6"/>
          <w:kern w:val="0"/>
          <w:szCs w:val="21"/>
        </w:rPr>
        <w:t>十</w:t>
      </w:r>
      <w:r>
        <w:rPr>
          <w:rFonts w:hint="eastAsia" w:ascii="宋体" w:hAnsi="宋体" w:cs="宋体"/>
          <w:b/>
          <w:spacing w:val="6"/>
          <w:szCs w:val="21"/>
        </w:rPr>
        <w:t>节附件10-4证明资料的填写)</w:t>
      </w:r>
    </w:p>
    <w:p>
      <w:pPr>
        <w:adjustRightInd w:val="0"/>
        <w:snapToGrid w:val="0"/>
        <w:spacing w:line="360" w:lineRule="auto"/>
        <w:rPr>
          <w:rFonts w:ascii="宋体" w:hAnsi="宋体" w:cs="宋体"/>
          <w:szCs w:val="21"/>
        </w:rPr>
      </w:pPr>
      <w:r>
        <w:rPr>
          <w:rFonts w:hint="eastAsia" w:ascii="宋体" w:hAnsi="宋体" w:cs="宋体"/>
          <w:szCs w:val="21"/>
        </w:rPr>
        <w:t>采购代理编号：</w:t>
      </w:r>
      <w:r>
        <w:rPr>
          <w:rFonts w:hint="eastAsia" w:ascii="宋体" w:hAnsi="宋体" w:cs="宋体"/>
          <w:kern w:val="0"/>
          <w:szCs w:val="21"/>
          <w:u w:val="single"/>
        </w:rPr>
        <w:t xml:space="preserve">              </w:t>
      </w:r>
      <w:r>
        <w:rPr>
          <w:rFonts w:hint="eastAsia" w:ascii="宋体" w:hAnsi="宋体" w:cs="宋体"/>
          <w:szCs w:val="21"/>
        </w:rPr>
        <w:t xml:space="preserve">                       项目名称：</w:t>
      </w:r>
      <w:r>
        <w:rPr>
          <w:rFonts w:hint="eastAsia" w:ascii="宋体" w:hAnsi="宋体" w:cs="宋体"/>
          <w:kern w:val="0"/>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包号：</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包名称：</w:t>
      </w:r>
      <w:r>
        <w:rPr>
          <w:rFonts w:hint="eastAsia" w:ascii="宋体" w:hAnsi="宋体" w:cs="宋体"/>
          <w:kern w:val="0"/>
          <w:szCs w:val="21"/>
          <w:u w:val="single"/>
        </w:rPr>
        <w:t xml:space="preserve">              </w:t>
      </w:r>
    </w:p>
    <w:tbl>
      <w:tblPr>
        <w:tblStyle w:val="47"/>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2552"/>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 w:hRule="atLeast"/>
        </w:trPr>
        <w:tc>
          <w:tcPr>
            <w:tcW w:w="8789" w:type="dxa"/>
            <w:gridSpan w:val="5"/>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本单位对本表的真实性负责。如有虚假，将依法承担相应责任。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1</w:t>
            </w:r>
          </w:p>
        </w:tc>
        <w:tc>
          <w:tcPr>
            <w:tcW w:w="1739"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2</w:t>
            </w:r>
          </w:p>
        </w:tc>
        <w:tc>
          <w:tcPr>
            <w:tcW w:w="2552"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3</w:t>
            </w:r>
          </w:p>
        </w:tc>
        <w:tc>
          <w:tcPr>
            <w:tcW w:w="1984"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4</w:t>
            </w:r>
          </w:p>
        </w:tc>
        <w:tc>
          <w:tcPr>
            <w:tcW w:w="1843"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序号</w:t>
            </w:r>
          </w:p>
        </w:tc>
        <w:tc>
          <w:tcPr>
            <w:tcW w:w="1739"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货物名称</w:t>
            </w:r>
          </w:p>
        </w:tc>
        <w:tc>
          <w:tcPr>
            <w:tcW w:w="2552"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价格（元）</w:t>
            </w:r>
          </w:p>
        </w:tc>
        <w:tc>
          <w:tcPr>
            <w:tcW w:w="1984"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货物制造商名称</w:t>
            </w:r>
          </w:p>
        </w:tc>
        <w:tc>
          <w:tcPr>
            <w:tcW w:w="1843" w:type="dxa"/>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5"/>
            <w:vAlign w:val="center"/>
          </w:tcPr>
          <w:p>
            <w:pPr>
              <w:adjustRightInd w:val="0"/>
              <w:snapToGrid w:val="0"/>
              <w:spacing w:line="360" w:lineRule="auto"/>
              <w:jc w:val="left"/>
              <w:rPr>
                <w:rFonts w:ascii="宋体" w:hAnsi="宋体" w:cs="宋体"/>
                <w:b/>
                <w:szCs w:val="21"/>
              </w:rPr>
            </w:pPr>
            <w:r>
              <w:rPr>
                <w:rFonts w:hint="eastAsia" w:ascii="宋体" w:hAnsi="宋体" w:cs="宋体"/>
                <w:b/>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cs="宋体"/>
                <w:b/>
                <w:szCs w:val="21"/>
              </w:rPr>
            </w:pPr>
          </w:p>
        </w:tc>
        <w:tc>
          <w:tcPr>
            <w:tcW w:w="1739" w:type="dxa"/>
            <w:vAlign w:val="center"/>
          </w:tcPr>
          <w:p>
            <w:pPr>
              <w:adjustRightInd w:val="0"/>
              <w:snapToGrid w:val="0"/>
              <w:spacing w:line="360" w:lineRule="auto"/>
              <w:jc w:val="center"/>
              <w:rPr>
                <w:rFonts w:ascii="宋体" w:hAnsi="宋体" w:cs="宋体"/>
                <w:b/>
                <w:szCs w:val="21"/>
              </w:rPr>
            </w:pPr>
          </w:p>
        </w:tc>
        <w:tc>
          <w:tcPr>
            <w:tcW w:w="2552" w:type="dxa"/>
            <w:vAlign w:val="center"/>
          </w:tcPr>
          <w:p>
            <w:pPr>
              <w:adjustRightInd w:val="0"/>
              <w:snapToGrid w:val="0"/>
              <w:spacing w:line="360" w:lineRule="auto"/>
              <w:jc w:val="left"/>
              <w:rPr>
                <w:rFonts w:ascii="宋体" w:hAnsi="宋体" w:cs="宋体"/>
                <w:b/>
                <w:szCs w:val="21"/>
              </w:rPr>
            </w:pPr>
          </w:p>
        </w:tc>
        <w:tc>
          <w:tcPr>
            <w:tcW w:w="1984" w:type="dxa"/>
            <w:vAlign w:val="center"/>
          </w:tcPr>
          <w:p>
            <w:pPr>
              <w:adjustRightInd w:val="0"/>
              <w:snapToGrid w:val="0"/>
              <w:spacing w:line="360" w:lineRule="auto"/>
              <w:jc w:val="center"/>
              <w:rPr>
                <w:rFonts w:ascii="宋体" w:hAnsi="宋体" w:cs="宋体"/>
                <w:b/>
                <w:szCs w:val="21"/>
              </w:rPr>
            </w:pPr>
          </w:p>
        </w:tc>
        <w:tc>
          <w:tcPr>
            <w:tcW w:w="1843" w:type="dxa"/>
          </w:tcPr>
          <w:p>
            <w:pPr>
              <w:adjustRightInd w:val="0"/>
              <w:snapToGrid w:val="0"/>
              <w:spacing w:line="360" w:lineRule="auto"/>
              <w:jc w:val="center"/>
              <w:rPr>
                <w:rFonts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小计</w:t>
            </w:r>
          </w:p>
        </w:tc>
        <w:tc>
          <w:tcPr>
            <w:tcW w:w="1739"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w:t>
            </w:r>
          </w:p>
        </w:tc>
        <w:tc>
          <w:tcPr>
            <w:tcW w:w="2552" w:type="dxa"/>
            <w:vAlign w:val="center"/>
          </w:tcPr>
          <w:p>
            <w:pPr>
              <w:adjustRightInd w:val="0"/>
              <w:snapToGrid w:val="0"/>
              <w:spacing w:line="360" w:lineRule="auto"/>
              <w:jc w:val="left"/>
              <w:rPr>
                <w:rFonts w:ascii="宋体" w:hAnsi="宋体" w:cs="宋体"/>
                <w:b/>
                <w:szCs w:val="21"/>
              </w:rPr>
            </w:pPr>
          </w:p>
        </w:tc>
        <w:tc>
          <w:tcPr>
            <w:tcW w:w="198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w:t>
            </w:r>
          </w:p>
        </w:tc>
        <w:tc>
          <w:tcPr>
            <w:tcW w:w="1843" w:type="dxa"/>
          </w:tcPr>
          <w:p>
            <w:pPr>
              <w:adjustRightInd w:val="0"/>
              <w:snapToGrid w:val="0"/>
              <w:spacing w:line="360" w:lineRule="auto"/>
              <w:jc w:val="center"/>
              <w:rPr>
                <w:rFonts w:ascii="宋体" w:hAnsi="宋体" w:cs="宋体"/>
                <w:b/>
                <w:szCs w:val="21"/>
              </w:rPr>
            </w:pPr>
            <w:r>
              <w:rPr>
                <w:rFonts w:hint="eastAsia" w:ascii="宋体" w:hAnsi="宋体" w:cs="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5"/>
            <w:vAlign w:val="center"/>
          </w:tcPr>
          <w:p>
            <w:pPr>
              <w:adjustRightInd w:val="0"/>
              <w:snapToGrid w:val="0"/>
              <w:spacing w:line="360" w:lineRule="auto"/>
              <w:jc w:val="left"/>
              <w:rPr>
                <w:rFonts w:ascii="宋体" w:hAnsi="宋体" w:cs="宋体"/>
                <w:b/>
                <w:szCs w:val="21"/>
              </w:rPr>
            </w:pPr>
            <w:r>
              <w:rPr>
                <w:rFonts w:hint="eastAsia" w:ascii="宋体" w:hAnsi="宋体" w:cs="宋体"/>
                <w:b/>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cs="宋体"/>
                <w:b/>
                <w:szCs w:val="21"/>
              </w:rPr>
            </w:pPr>
          </w:p>
        </w:tc>
        <w:tc>
          <w:tcPr>
            <w:tcW w:w="1739" w:type="dxa"/>
            <w:vAlign w:val="center"/>
          </w:tcPr>
          <w:p>
            <w:pPr>
              <w:adjustRightInd w:val="0"/>
              <w:snapToGrid w:val="0"/>
              <w:spacing w:line="360" w:lineRule="auto"/>
              <w:jc w:val="center"/>
              <w:rPr>
                <w:rFonts w:ascii="宋体" w:hAnsi="宋体" w:cs="宋体"/>
                <w:b/>
                <w:szCs w:val="21"/>
              </w:rPr>
            </w:pPr>
          </w:p>
        </w:tc>
        <w:tc>
          <w:tcPr>
            <w:tcW w:w="2552" w:type="dxa"/>
            <w:vAlign w:val="center"/>
          </w:tcPr>
          <w:p>
            <w:pPr>
              <w:adjustRightInd w:val="0"/>
              <w:snapToGrid w:val="0"/>
              <w:spacing w:line="360" w:lineRule="auto"/>
              <w:jc w:val="left"/>
              <w:rPr>
                <w:rFonts w:ascii="宋体" w:hAnsi="宋体" w:cs="宋体"/>
                <w:b/>
                <w:szCs w:val="21"/>
              </w:rPr>
            </w:pPr>
          </w:p>
        </w:tc>
        <w:tc>
          <w:tcPr>
            <w:tcW w:w="1984" w:type="dxa"/>
            <w:vAlign w:val="center"/>
          </w:tcPr>
          <w:p>
            <w:pPr>
              <w:adjustRightInd w:val="0"/>
              <w:snapToGrid w:val="0"/>
              <w:spacing w:line="360" w:lineRule="auto"/>
              <w:jc w:val="center"/>
              <w:rPr>
                <w:rFonts w:ascii="宋体" w:hAnsi="宋体" w:cs="宋体"/>
                <w:b/>
                <w:szCs w:val="21"/>
              </w:rPr>
            </w:pPr>
          </w:p>
        </w:tc>
        <w:tc>
          <w:tcPr>
            <w:tcW w:w="1843" w:type="dxa"/>
          </w:tcPr>
          <w:p>
            <w:pPr>
              <w:adjustRightInd w:val="0"/>
              <w:snapToGrid w:val="0"/>
              <w:spacing w:line="360" w:lineRule="auto"/>
              <w:jc w:val="center"/>
              <w:rPr>
                <w:rFonts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小计</w:t>
            </w:r>
          </w:p>
        </w:tc>
        <w:tc>
          <w:tcPr>
            <w:tcW w:w="1739"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w:t>
            </w:r>
          </w:p>
        </w:tc>
        <w:tc>
          <w:tcPr>
            <w:tcW w:w="2552" w:type="dxa"/>
            <w:vAlign w:val="center"/>
          </w:tcPr>
          <w:p>
            <w:pPr>
              <w:adjustRightInd w:val="0"/>
              <w:snapToGrid w:val="0"/>
              <w:spacing w:line="360" w:lineRule="auto"/>
              <w:jc w:val="left"/>
              <w:rPr>
                <w:rFonts w:ascii="宋体" w:hAnsi="宋体" w:cs="宋体"/>
                <w:b/>
                <w:szCs w:val="21"/>
              </w:rPr>
            </w:pPr>
          </w:p>
        </w:tc>
        <w:tc>
          <w:tcPr>
            <w:tcW w:w="198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w:t>
            </w:r>
          </w:p>
        </w:tc>
        <w:tc>
          <w:tcPr>
            <w:tcW w:w="1843" w:type="dxa"/>
          </w:tcPr>
          <w:p>
            <w:pPr>
              <w:adjustRightInd w:val="0"/>
              <w:snapToGrid w:val="0"/>
              <w:spacing w:line="360" w:lineRule="auto"/>
              <w:jc w:val="center"/>
              <w:rPr>
                <w:rFonts w:ascii="宋体" w:hAnsi="宋体" w:cs="宋体"/>
                <w:b/>
                <w:szCs w:val="21"/>
              </w:rPr>
            </w:pPr>
            <w:r>
              <w:rPr>
                <w:rFonts w:hint="eastAsia" w:ascii="宋体" w:hAnsi="宋体" w:cs="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5"/>
            <w:vAlign w:val="center"/>
          </w:tcPr>
          <w:p>
            <w:pPr>
              <w:adjustRightInd w:val="0"/>
              <w:snapToGrid w:val="0"/>
              <w:spacing w:line="360" w:lineRule="auto"/>
              <w:jc w:val="left"/>
              <w:rPr>
                <w:rFonts w:ascii="宋体" w:hAnsi="宋体" w:cs="宋体"/>
                <w:b/>
                <w:szCs w:val="21"/>
              </w:rPr>
            </w:pPr>
            <w:r>
              <w:rPr>
                <w:rFonts w:hint="eastAsia" w:ascii="宋体" w:hAnsi="宋体" w:cs="宋体"/>
                <w:b/>
                <w:szCs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cs="宋体"/>
                <w:szCs w:val="21"/>
              </w:rPr>
            </w:pPr>
          </w:p>
        </w:tc>
        <w:tc>
          <w:tcPr>
            <w:tcW w:w="1739" w:type="dxa"/>
            <w:vAlign w:val="center"/>
          </w:tcPr>
          <w:p>
            <w:pPr>
              <w:adjustRightInd w:val="0"/>
              <w:snapToGrid w:val="0"/>
              <w:spacing w:line="360" w:lineRule="auto"/>
              <w:jc w:val="center"/>
              <w:rPr>
                <w:rFonts w:ascii="宋体" w:hAnsi="宋体" w:cs="宋体"/>
                <w:szCs w:val="21"/>
              </w:rPr>
            </w:pPr>
          </w:p>
        </w:tc>
        <w:tc>
          <w:tcPr>
            <w:tcW w:w="2552" w:type="dxa"/>
            <w:vAlign w:val="center"/>
          </w:tcPr>
          <w:p>
            <w:pPr>
              <w:adjustRightInd w:val="0"/>
              <w:snapToGrid w:val="0"/>
              <w:spacing w:line="360" w:lineRule="auto"/>
              <w:jc w:val="center"/>
              <w:rPr>
                <w:rFonts w:ascii="宋体" w:hAnsi="宋体" w:cs="宋体"/>
                <w:szCs w:val="21"/>
              </w:rPr>
            </w:pPr>
          </w:p>
        </w:tc>
        <w:tc>
          <w:tcPr>
            <w:tcW w:w="1984" w:type="dxa"/>
            <w:vAlign w:val="center"/>
          </w:tcPr>
          <w:p>
            <w:pPr>
              <w:adjustRightInd w:val="0"/>
              <w:snapToGrid w:val="0"/>
              <w:spacing w:line="360" w:lineRule="auto"/>
              <w:jc w:val="center"/>
              <w:rPr>
                <w:rFonts w:ascii="宋体" w:hAnsi="宋体" w:cs="宋体"/>
                <w:szCs w:val="21"/>
              </w:rPr>
            </w:pPr>
          </w:p>
        </w:tc>
        <w:tc>
          <w:tcPr>
            <w:tcW w:w="1843" w:type="dxa"/>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小计</w:t>
            </w:r>
          </w:p>
        </w:tc>
        <w:tc>
          <w:tcPr>
            <w:tcW w:w="173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2552" w:type="dxa"/>
            <w:vAlign w:val="center"/>
          </w:tcPr>
          <w:p>
            <w:pPr>
              <w:adjustRightInd w:val="0"/>
              <w:snapToGrid w:val="0"/>
              <w:spacing w:line="360" w:lineRule="auto"/>
              <w:jc w:val="center"/>
              <w:rPr>
                <w:rFonts w:ascii="宋体" w:hAnsi="宋体" w:cs="宋体"/>
                <w:szCs w:val="21"/>
              </w:rPr>
            </w:pPr>
          </w:p>
        </w:tc>
        <w:tc>
          <w:tcPr>
            <w:tcW w:w="198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843" w:type="dxa"/>
          </w:tcPr>
          <w:p>
            <w:pPr>
              <w:adjustRightInd w:val="0"/>
              <w:snapToGrid w:val="0"/>
              <w:spacing w:line="360" w:lineRule="auto"/>
              <w:jc w:val="center"/>
              <w:rPr>
                <w:rFonts w:ascii="宋体" w:hAnsi="宋体" w:cs="宋体"/>
                <w:szCs w:val="21"/>
              </w:rPr>
            </w:pPr>
            <w:r>
              <w:rPr>
                <w:rFonts w:hint="eastAsia" w:ascii="宋体" w:hAnsi="宋体" w:cs="宋体"/>
                <w:szCs w:val="21"/>
              </w:rPr>
              <w:t>/</w:t>
            </w:r>
          </w:p>
        </w:tc>
      </w:tr>
    </w:tbl>
    <w:p>
      <w:pPr>
        <w:adjustRightInd w:val="0"/>
        <w:snapToGrid w:val="0"/>
        <w:spacing w:line="360" w:lineRule="auto"/>
        <w:jc w:val="left"/>
        <w:rPr>
          <w:rFonts w:ascii="宋体" w:hAnsi="宋体" w:cs="宋体"/>
          <w:szCs w:val="21"/>
        </w:rPr>
      </w:pPr>
      <w:r>
        <w:rPr>
          <w:rFonts w:hint="eastAsia" w:ascii="宋体" w:hAnsi="宋体" w:cs="宋体"/>
          <w:szCs w:val="21"/>
        </w:rPr>
        <w:t>说明：</w:t>
      </w:r>
      <w:r>
        <w:rPr>
          <w:rFonts w:hint="eastAsia" w:ascii="宋体" w:hAnsi="宋体" w:cs="宋体"/>
          <w:bCs/>
          <w:szCs w:val="21"/>
        </w:rPr>
        <w:t>1、</w:t>
      </w:r>
      <w:r>
        <w:rPr>
          <w:rFonts w:hint="eastAsia" w:ascii="宋体" w:hAnsi="宋体" w:cs="宋体"/>
          <w:szCs w:val="21"/>
        </w:rPr>
        <w:t>本表用于计算政府采购优先采购产品（节能产品、环境标志产品、两型产品）的政府采购政策加分或者价格扣除。</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2、栏目3“价格”为综合单价，包含货物所有隐含的内容，如运输费、保险费、管理费和利润等。</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3、栏目5“政策功能编码”是指货物的中国环境标志认证证书编号、中国节能标志认证证书号、湖南两型产品编号（货物同时属于节能产品、环境标志产品、两型产品的，只需填写一种）。</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4、投标人在提交投标文件的截止时间前修改“开标一览表”中的投标总价的，涉及本表相应内容应同时修改。未按上述要求提供、</w:t>
      </w:r>
      <w:r>
        <w:rPr>
          <w:rFonts w:hint="eastAsia" w:ascii="宋体" w:hAnsi="宋体" w:cs="宋体"/>
          <w:szCs w:val="21"/>
        </w:rPr>
        <w:t>填写的，</w:t>
      </w:r>
      <w:r>
        <w:rPr>
          <w:rFonts w:hint="eastAsia" w:ascii="宋体" w:hAnsi="宋体" w:cs="宋体"/>
          <w:bCs/>
          <w:szCs w:val="21"/>
        </w:rPr>
        <w:t>评审时本表所有优惠不予以考虑。</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投标人名称（盖单位章）：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法定代表人或其委托代理人（签字或印章）：</w:t>
      </w:r>
    </w:p>
    <w:p>
      <w:pPr>
        <w:adjustRightInd w:val="0"/>
        <w:snapToGrid w:val="0"/>
        <w:spacing w:line="360" w:lineRule="auto"/>
        <w:rPr>
          <w:rFonts w:ascii="宋体" w:hAnsi="宋体" w:cs="宋体"/>
          <w:szCs w:val="21"/>
        </w:rPr>
        <w:sectPr>
          <w:headerReference r:id="rId10" w:type="first"/>
          <w:footerReference r:id="rId13" w:type="first"/>
          <w:headerReference r:id="rId8" w:type="default"/>
          <w:footerReference r:id="rId11" w:type="default"/>
          <w:headerReference r:id="rId9" w:type="even"/>
          <w:footerReference r:id="rId12" w:type="even"/>
          <w:pgSz w:w="11906" w:h="16838"/>
          <w:pgMar w:top="1474" w:right="1474" w:bottom="1474" w:left="1588" w:header="851" w:footer="992" w:gutter="0"/>
          <w:pgNumType w:fmt="numberInDash"/>
          <w:cols w:space="720" w:num="1"/>
          <w:docGrid w:type="lines" w:linePitch="312" w:charSpace="0"/>
        </w:sectPr>
      </w:pPr>
      <w:r>
        <w:rPr>
          <w:rFonts w:hint="eastAsia" w:ascii="宋体" w:hAnsi="宋体" w:cs="宋体"/>
          <w:szCs w:val="21"/>
        </w:rPr>
        <w:t>日期：年月日</w:t>
      </w:r>
    </w:p>
    <w:p>
      <w:pPr>
        <w:pStyle w:val="9"/>
        <w:adjustRightInd w:val="0"/>
        <w:snapToGrid w:val="0"/>
        <w:spacing w:before="0" w:after="0" w:line="360" w:lineRule="auto"/>
        <w:jc w:val="center"/>
        <w:rPr>
          <w:rFonts w:ascii="宋体" w:hAnsi="宋体" w:cs="宋体"/>
          <w:sz w:val="28"/>
          <w:szCs w:val="28"/>
        </w:rPr>
      </w:pPr>
      <w:bookmarkStart w:id="306" w:name="_Toc23384"/>
      <w:bookmarkStart w:id="307" w:name="_Toc6726"/>
      <w:r>
        <w:rPr>
          <w:rFonts w:hint="eastAsia" w:ascii="宋体" w:hAnsi="宋体" w:cs="宋体"/>
          <w:sz w:val="28"/>
          <w:szCs w:val="28"/>
        </w:rPr>
        <w:t>七、采购需求响应</w:t>
      </w:r>
      <w:bookmarkEnd w:id="306"/>
      <w:bookmarkEnd w:id="307"/>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rPr>
      </w:pPr>
      <w:r>
        <w:rPr>
          <w:rFonts w:hint="eastAsia" w:ascii="宋体" w:hAnsi="宋体" w:cs="宋体"/>
          <w:b/>
          <w:szCs w:val="21"/>
        </w:rPr>
        <w:t>备注</w:t>
      </w:r>
      <w:r>
        <w:rPr>
          <w:rFonts w:hint="eastAsia" w:ascii="宋体" w:hAnsi="宋体" w:cs="宋体"/>
          <w:bCs/>
          <w:szCs w:val="21"/>
        </w:rPr>
        <w:t>：</w:t>
      </w:r>
      <w:r>
        <w:rPr>
          <w:rFonts w:hint="eastAsia" w:ascii="宋体" w:hAnsi="宋体" w:cs="宋体"/>
          <w:b/>
        </w:rPr>
        <w:t>投标人应按</w:t>
      </w:r>
      <w:r>
        <w:rPr>
          <w:rFonts w:hint="eastAsia" w:ascii="宋体" w:hAnsi="宋体" w:cs="宋体"/>
          <w:b/>
          <w:lang w:eastAsia="zh-CN"/>
        </w:rPr>
        <w:t>采购</w:t>
      </w:r>
      <w:r>
        <w:rPr>
          <w:rFonts w:hint="eastAsia" w:ascii="宋体" w:hAnsi="宋体" w:cs="宋体"/>
          <w:b/>
        </w:rPr>
        <w:t>文件第五章采购需求自行编写采购需求响应文件（其内容可包括，且不限于详细的技术指标和性能、售后服务和技术服务的组织及保证措施等，格式自拟）。</w:t>
      </w:r>
    </w:p>
    <w:p>
      <w:pPr>
        <w:pStyle w:val="28"/>
        <w:adjustRightInd w:val="0"/>
        <w:snapToGrid w:val="0"/>
        <w:spacing w:line="360" w:lineRule="auto"/>
        <w:ind w:left="-88" w:leftChars="-42"/>
        <w:rPr>
          <w:rFonts w:ascii="宋体" w:hAnsi="宋体" w:cs="宋体"/>
          <w:bCs/>
          <w:sz w:val="21"/>
          <w:szCs w:val="21"/>
        </w:rPr>
      </w:pPr>
    </w:p>
    <w:p>
      <w:pPr>
        <w:rPr>
          <w:rFonts w:ascii="宋体" w:hAnsi="宋体" w:cs="宋体"/>
        </w:rPr>
      </w:pPr>
    </w:p>
    <w:p>
      <w:pPr>
        <w:rPr>
          <w:rFonts w:ascii="宋体" w:hAnsi="宋体" w:cs="宋体"/>
        </w:rPr>
      </w:pPr>
    </w:p>
    <w:p>
      <w:pPr>
        <w:rPr>
          <w:rFonts w:ascii="宋体" w:hAnsi="宋体" w:cs="宋体"/>
        </w:rPr>
      </w:pPr>
    </w:p>
    <w:p>
      <w:pPr>
        <w:pStyle w:val="28"/>
        <w:tabs>
          <w:tab w:val="left" w:pos="6208"/>
        </w:tabs>
        <w:adjustRightInd w:val="0"/>
        <w:snapToGrid w:val="0"/>
        <w:spacing w:line="360" w:lineRule="auto"/>
        <w:ind w:left="-88" w:leftChars="-42"/>
        <w:rPr>
          <w:rFonts w:ascii="宋体" w:hAnsi="宋体" w:cs="宋体"/>
          <w:bCs/>
          <w:sz w:val="21"/>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投标人名称（盖单位章）：</w:t>
      </w:r>
    </w:p>
    <w:p>
      <w:pPr>
        <w:adjustRightInd w:val="0"/>
        <w:snapToGrid w:val="0"/>
        <w:spacing w:line="360" w:lineRule="auto"/>
        <w:rPr>
          <w:rFonts w:ascii="宋体" w:hAnsi="宋体" w:cs="宋体"/>
          <w:szCs w:val="21"/>
          <w:u w:val="single"/>
        </w:rPr>
      </w:pPr>
      <w:r>
        <w:rPr>
          <w:rFonts w:hint="eastAsia" w:ascii="宋体" w:hAnsi="宋体" w:cs="宋体"/>
          <w:szCs w:val="21"/>
        </w:rPr>
        <w:t>法定代表人或其授权的代理人（签字或印章）：</w:t>
      </w:r>
    </w:p>
    <w:p>
      <w:pPr>
        <w:adjustRightInd w:val="0"/>
        <w:snapToGrid w:val="0"/>
        <w:spacing w:line="360" w:lineRule="auto"/>
        <w:rPr>
          <w:rFonts w:ascii="宋体" w:hAnsi="宋体" w:cs="宋体"/>
          <w:szCs w:val="21"/>
        </w:rPr>
      </w:pPr>
      <w:r>
        <w:rPr>
          <w:rFonts w:hint="eastAsia" w:ascii="宋体" w:hAnsi="宋体" w:cs="宋体"/>
          <w:szCs w:val="21"/>
        </w:rPr>
        <w:t>日期：年月日</w:t>
      </w:r>
    </w:p>
    <w:p>
      <w:pPr>
        <w:rPr>
          <w:rFonts w:ascii="宋体" w:hAnsi="宋体" w:cs="宋体"/>
        </w:rPr>
      </w:pPr>
    </w:p>
    <w:p>
      <w:pPr>
        <w:pStyle w:val="10"/>
        <w:adjustRightInd w:val="0"/>
        <w:snapToGrid w:val="0"/>
        <w:spacing w:before="156" w:beforeLines="50" w:after="0" w:line="360" w:lineRule="auto"/>
        <w:rPr>
          <w:rFonts w:ascii="宋体" w:hAnsi="宋体" w:eastAsia="宋体" w:cs="宋体"/>
          <w:b w:val="0"/>
          <w:sz w:val="21"/>
          <w:szCs w:val="21"/>
        </w:rPr>
      </w:pPr>
      <w:bookmarkStart w:id="308" w:name="_Toc22614"/>
      <w:r>
        <w:rPr>
          <w:rFonts w:hint="eastAsia" w:ascii="宋体" w:hAnsi="宋体" w:eastAsia="宋体" w:cs="宋体"/>
          <w:b w:val="0"/>
          <w:spacing w:val="6"/>
          <w:kern w:val="0"/>
          <w:sz w:val="21"/>
          <w:szCs w:val="21"/>
        </w:rPr>
        <w:t>附件7-1 货</w:t>
      </w:r>
      <w:r>
        <w:rPr>
          <w:rFonts w:hint="eastAsia" w:ascii="宋体" w:hAnsi="宋体" w:eastAsia="宋体" w:cs="宋体"/>
          <w:b w:val="0"/>
          <w:sz w:val="21"/>
          <w:szCs w:val="21"/>
        </w:rPr>
        <w:t>物说明-览表</w:t>
      </w:r>
      <w:bookmarkEnd w:id="308"/>
    </w:p>
    <w:p>
      <w:pPr>
        <w:adjustRightInd w:val="0"/>
        <w:snapToGrid w:val="0"/>
        <w:spacing w:before="156" w:beforeLines="50" w:line="360" w:lineRule="auto"/>
        <w:jc w:val="center"/>
        <w:rPr>
          <w:rFonts w:ascii="宋体" w:hAnsi="宋体" w:cs="宋体"/>
          <w:b/>
          <w:bCs/>
          <w:sz w:val="28"/>
          <w:szCs w:val="28"/>
        </w:rPr>
      </w:pPr>
      <w:r>
        <w:rPr>
          <w:rFonts w:hint="eastAsia" w:ascii="宋体" w:hAnsi="宋体" w:cs="宋体"/>
          <w:b/>
          <w:bCs/>
          <w:sz w:val="28"/>
          <w:szCs w:val="28"/>
        </w:rPr>
        <w:t>服务说明-览表</w:t>
      </w:r>
    </w:p>
    <w:p>
      <w:pPr>
        <w:jc w:val="center"/>
        <w:rPr>
          <w:rFonts w:ascii="宋体" w:hAnsi="宋体" w:cs="宋体"/>
          <w:szCs w:val="21"/>
        </w:rPr>
      </w:pPr>
    </w:p>
    <w:tbl>
      <w:tblPr>
        <w:tblStyle w:val="47"/>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957"/>
        <w:gridCol w:w="2124"/>
        <w:gridCol w:w="2127"/>
        <w:gridCol w:w="992"/>
        <w:gridCol w:w="709"/>
        <w:gridCol w:w="751"/>
        <w:gridCol w:w="9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429" w:type="dxa"/>
            <w:vMerge w:val="restart"/>
            <w:vAlign w:val="center"/>
          </w:tcPr>
          <w:p>
            <w:pPr>
              <w:jc w:val="center"/>
              <w:rPr>
                <w:rFonts w:ascii="宋体" w:hAnsi="宋体" w:cs="宋体"/>
                <w:szCs w:val="21"/>
              </w:rPr>
            </w:pPr>
            <w:r>
              <w:rPr>
                <w:rFonts w:hint="eastAsia" w:ascii="宋体" w:hAnsi="宋体" w:cs="宋体"/>
                <w:szCs w:val="21"/>
              </w:rPr>
              <w:t>包号</w:t>
            </w:r>
          </w:p>
        </w:tc>
        <w:tc>
          <w:tcPr>
            <w:tcW w:w="957" w:type="dxa"/>
            <w:vMerge w:val="restart"/>
            <w:tcBorders>
              <w:right w:val="single" w:color="auto" w:sz="4" w:space="0"/>
            </w:tcBorders>
            <w:vAlign w:val="center"/>
          </w:tcPr>
          <w:p>
            <w:pPr>
              <w:jc w:val="center"/>
              <w:rPr>
                <w:rFonts w:ascii="宋体" w:hAnsi="宋体" w:cs="宋体"/>
                <w:szCs w:val="21"/>
              </w:rPr>
            </w:pPr>
            <w:r>
              <w:rPr>
                <w:rFonts w:hint="eastAsia" w:ascii="宋体" w:hAnsi="宋体" w:cs="宋体"/>
                <w:szCs w:val="21"/>
              </w:rPr>
              <w:t>包名称</w:t>
            </w:r>
          </w:p>
        </w:tc>
        <w:tc>
          <w:tcPr>
            <w:tcW w:w="2124" w:type="dxa"/>
            <w:vMerge w:val="restart"/>
            <w:tcBorders>
              <w:left w:val="single" w:color="auto" w:sz="4" w:space="0"/>
            </w:tcBorders>
            <w:vAlign w:val="center"/>
          </w:tcPr>
          <w:p>
            <w:pPr>
              <w:jc w:val="center"/>
              <w:rPr>
                <w:rFonts w:ascii="宋体" w:hAnsi="宋体" w:cs="宋体"/>
                <w:szCs w:val="21"/>
              </w:rPr>
            </w:pPr>
            <w:r>
              <w:rPr>
                <w:rFonts w:hint="eastAsia" w:ascii="宋体" w:hAnsi="宋体" w:cs="宋体"/>
                <w:szCs w:val="21"/>
              </w:rPr>
              <w:t>分项项目名称</w:t>
            </w:r>
          </w:p>
          <w:p>
            <w:pPr>
              <w:jc w:val="center"/>
              <w:rPr>
                <w:rFonts w:ascii="宋体" w:hAnsi="宋体" w:cs="宋体"/>
                <w:szCs w:val="21"/>
              </w:rPr>
            </w:pPr>
            <w:r>
              <w:rPr>
                <w:rFonts w:hint="eastAsia" w:ascii="宋体" w:hAnsi="宋体" w:cs="宋体"/>
                <w:szCs w:val="21"/>
              </w:rPr>
              <w:t>（条目号/品目名称）</w:t>
            </w:r>
          </w:p>
        </w:tc>
        <w:tc>
          <w:tcPr>
            <w:tcW w:w="2127" w:type="dxa"/>
            <w:vMerge w:val="restart"/>
            <w:vAlign w:val="center"/>
          </w:tcPr>
          <w:p>
            <w:pPr>
              <w:jc w:val="center"/>
              <w:rPr>
                <w:rFonts w:ascii="宋体" w:hAnsi="宋体" w:cs="宋体"/>
                <w:szCs w:val="21"/>
              </w:rPr>
            </w:pPr>
            <w:r>
              <w:rPr>
                <w:rFonts w:hint="eastAsia" w:ascii="宋体" w:hAnsi="宋体" w:cs="宋体"/>
                <w:szCs w:val="21"/>
              </w:rPr>
              <w:t>主要技术参数或规格</w:t>
            </w:r>
          </w:p>
        </w:tc>
        <w:tc>
          <w:tcPr>
            <w:tcW w:w="992" w:type="dxa"/>
            <w:vMerge w:val="restart"/>
            <w:vAlign w:val="center"/>
          </w:tcPr>
          <w:p>
            <w:pPr>
              <w:jc w:val="center"/>
              <w:rPr>
                <w:rFonts w:ascii="宋体" w:hAnsi="宋体" w:cs="宋体"/>
                <w:szCs w:val="21"/>
              </w:rPr>
            </w:pPr>
            <w:r>
              <w:rPr>
                <w:rFonts w:hint="eastAsia" w:ascii="宋体" w:hAnsi="宋体" w:cs="宋体"/>
                <w:szCs w:val="21"/>
              </w:rPr>
              <w:t>数量</w:t>
            </w:r>
          </w:p>
          <w:p>
            <w:pPr>
              <w:jc w:val="center"/>
              <w:rPr>
                <w:rFonts w:ascii="宋体" w:hAnsi="宋体" w:cs="宋体"/>
                <w:szCs w:val="21"/>
              </w:rPr>
            </w:pPr>
            <w:r>
              <w:rPr>
                <w:rFonts w:hint="eastAsia" w:ascii="宋体" w:hAnsi="宋体" w:cs="宋体"/>
                <w:szCs w:val="21"/>
              </w:rPr>
              <w:t>（台套）</w:t>
            </w:r>
          </w:p>
        </w:tc>
        <w:tc>
          <w:tcPr>
            <w:tcW w:w="1460" w:type="dxa"/>
            <w:gridSpan w:val="2"/>
            <w:vAlign w:val="center"/>
          </w:tcPr>
          <w:p>
            <w:pPr>
              <w:jc w:val="center"/>
              <w:rPr>
                <w:rFonts w:ascii="宋体" w:hAnsi="宋体" w:cs="宋体"/>
                <w:szCs w:val="21"/>
              </w:rPr>
            </w:pPr>
            <w:r>
              <w:rPr>
                <w:rFonts w:hint="eastAsia" w:ascii="宋体" w:hAnsi="宋体" w:cs="宋体"/>
                <w:szCs w:val="21"/>
              </w:rPr>
              <w:t>交货</w:t>
            </w:r>
          </w:p>
        </w:tc>
        <w:tc>
          <w:tcPr>
            <w:tcW w:w="971" w:type="dxa"/>
            <w:vMerge w:val="restart"/>
            <w:vAlign w:val="center"/>
          </w:tcPr>
          <w:p>
            <w:pPr>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429" w:type="dxa"/>
            <w:vMerge w:val="continue"/>
            <w:vAlign w:val="center"/>
          </w:tcPr>
          <w:p>
            <w:pPr>
              <w:jc w:val="center"/>
              <w:rPr>
                <w:rFonts w:ascii="宋体" w:hAnsi="宋体" w:cs="宋体"/>
                <w:szCs w:val="21"/>
              </w:rPr>
            </w:pPr>
          </w:p>
        </w:tc>
        <w:tc>
          <w:tcPr>
            <w:tcW w:w="957" w:type="dxa"/>
            <w:vMerge w:val="continue"/>
            <w:tcBorders>
              <w:right w:val="single" w:color="auto" w:sz="4" w:space="0"/>
            </w:tcBorders>
            <w:vAlign w:val="center"/>
          </w:tcPr>
          <w:p>
            <w:pPr>
              <w:jc w:val="center"/>
              <w:rPr>
                <w:rFonts w:ascii="宋体" w:hAnsi="宋体" w:cs="宋体"/>
                <w:szCs w:val="21"/>
              </w:rPr>
            </w:pPr>
          </w:p>
        </w:tc>
        <w:tc>
          <w:tcPr>
            <w:tcW w:w="2124" w:type="dxa"/>
            <w:vMerge w:val="continue"/>
            <w:tcBorders>
              <w:left w:val="single" w:color="auto" w:sz="4" w:space="0"/>
            </w:tcBorders>
            <w:vAlign w:val="center"/>
          </w:tcPr>
          <w:p>
            <w:pPr>
              <w:jc w:val="center"/>
              <w:rPr>
                <w:rFonts w:ascii="宋体" w:hAnsi="宋体" w:cs="宋体"/>
                <w:szCs w:val="21"/>
              </w:rPr>
            </w:pPr>
          </w:p>
        </w:tc>
        <w:tc>
          <w:tcPr>
            <w:tcW w:w="2127" w:type="dxa"/>
            <w:vMerge w:val="continue"/>
            <w:vAlign w:val="center"/>
          </w:tcPr>
          <w:p>
            <w:pPr>
              <w:jc w:val="center"/>
              <w:rPr>
                <w:rFonts w:ascii="宋体" w:hAnsi="宋体" w:cs="宋体"/>
                <w:szCs w:val="21"/>
              </w:rPr>
            </w:pPr>
          </w:p>
        </w:tc>
        <w:tc>
          <w:tcPr>
            <w:tcW w:w="992" w:type="dxa"/>
            <w:vMerge w:val="continue"/>
            <w:vAlign w:val="center"/>
          </w:tcPr>
          <w:p>
            <w:pPr>
              <w:jc w:val="center"/>
              <w:rPr>
                <w:rFonts w:ascii="宋体" w:hAnsi="宋体" w:cs="宋体"/>
                <w:szCs w:val="21"/>
              </w:rPr>
            </w:pPr>
          </w:p>
        </w:tc>
        <w:tc>
          <w:tcPr>
            <w:tcW w:w="709" w:type="dxa"/>
            <w:vAlign w:val="center"/>
          </w:tcPr>
          <w:p>
            <w:pPr>
              <w:jc w:val="center"/>
              <w:rPr>
                <w:rFonts w:ascii="宋体" w:hAnsi="宋体" w:cs="宋体"/>
                <w:szCs w:val="21"/>
              </w:rPr>
            </w:pPr>
            <w:r>
              <w:rPr>
                <w:rFonts w:hint="eastAsia" w:ascii="宋体" w:hAnsi="宋体" w:cs="宋体"/>
                <w:szCs w:val="21"/>
              </w:rPr>
              <w:t>时间</w:t>
            </w:r>
          </w:p>
        </w:tc>
        <w:tc>
          <w:tcPr>
            <w:tcW w:w="751" w:type="dxa"/>
            <w:vAlign w:val="center"/>
          </w:tcPr>
          <w:p>
            <w:pPr>
              <w:jc w:val="center"/>
              <w:rPr>
                <w:rFonts w:ascii="宋体" w:hAnsi="宋体" w:cs="宋体"/>
                <w:szCs w:val="21"/>
              </w:rPr>
            </w:pPr>
            <w:r>
              <w:rPr>
                <w:rFonts w:hint="eastAsia" w:ascii="宋体" w:hAnsi="宋体" w:cs="宋体"/>
                <w:szCs w:val="21"/>
              </w:rPr>
              <w:t>地点</w:t>
            </w:r>
          </w:p>
        </w:tc>
        <w:tc>
          <w:tcPr>
            <w:tcW w:w="971" w:type="dxa"/>
            <w:vMerge w:val="continue"/>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rFonts w:ascii="宋体" w:hAnsi="宋体" w:cs="宋体"/>
                <w:szCs w:val="21"/>
              </w:rPr>
            </w:pPr>
          </w:p>
        </w:tc>
        <w:tc>
          <w:tcPr>
            <w:tcW w:w="957" w:type="dxa"/>
            <w:tcBorders>
              <w:right w:val="single" w:color="auto" w:sz="4" w:space="0"/>
            </w:tcBorders>
          </w:tcPr>
          <w:p>
            <w:pPr>
              <w:rPr>
                <w:rFonts w:ascii="宋体" w:hAnsi="宋体" w:cs="宋体"/>
                <w:szCs w:val="21"/>
              </w:rPr>
            </w:pPr>
          </w:p>
        </w:tc>
        <w:tc>
          <w:tcPr>
            <w:tcW w:w="2124" w:type="dxa"/>
            <w:tcBorders>
              <w:left w:val="single" w:color="auto" w:sz="4" w:space="0"/>
            </w:tcBorders>
          </w:tcPr>
          <w:p>
            <w:pPr>
              <w:rPr>
                <w:rFonts w:ascii="宋体" w:hAnsi="宋体" w:cs="宋体"/>
                <w:szCs w:val="21"/>
              </w:rPr>
            </w:pPr>
          </w:p>
        </w:tc>
        <w:tc>
          <w:tcPr>
            <w:tcW w:w="2127" w:type="dxa"/>
          </w:tcPr>
          <w:p>
            <w:pPr>
              <w:rPr>
                <w:rFonts w:ascii="宋体" w:hAnsi="宋体" w:cs="宋体"/>
                <w:szCs w:val="21"/>
              </w:rPr>
            </w:pPr>
          </w:p>
        </w:tc>
        <w:tc>
          <w:tcPr>
            <w:tcW w:w="992" w:type="dxa"/>
          </w:tcPr>
          <w:p>
            <w:pPr>
              <w:rPr>
                <w:rFonts w:ascii="宋体" w:hAnsi="宋体" w:cs="宋体"/>
                <w:szCs w:val="21"/>
              </w:rPr>
            </w:pPr>
          </w:p>
        </w:tc>
        <w:tc>
          <w:tcPr>
            <w:tcW w:w="709" w:type="dxa"/>
            <w:tcBorders>
              <w:bottom w:val="single" w:color="auto" w:sz="4" w:space="0"/>
            </w:tcBorders>
          </w:tcPr>
          <w:p>
            <w:pPr>
              <w:rPr>
                <w:rFonts w:ascii="宋体" w:hAnsi="宋体" w:cs="宋体"/>
                <w:szCs w:val="21"/>
              </w:rPr>
            </w:pPr>
          </w:p>
        </w:tc>
        <w:tc>
          <w:tcPr>
            <w:tcW w:w="751" w:type="dxa"/>
            <w:tcBorders>
              <w:bottom w:val="single" w:color="auto" w:sz="4" w:space="0"/>
            </w:tcBorders>
          </w:tcPr>
          <w:p>
            <w:pPr>
              <w:rPr>
                <w:rFonts w:ascii="宋体" w:hAnsi="宋体" w:cs="宋体"/>
                <w:szCs w:val="21"/>
              </w:rPr>
            </w:pPr>
          </w:p>
        </w:tc>
        <w:tc>
          <w:tcPr>
            <w:tcW w:w="971" w:type="dxa"/>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rFonts w:ascii="宋体" w:hAnsi="宋体" w:cs="宋体"/>
                <w:szCs w:val="21"/>
              </w:rPr>
            </w:pPr>
          </w:p>
        </w:tc>
        <w:tc>
          <w:tcPr>
            <w:tcW w:w="957" w:type="dxa"/>
            <w:tcBorders>
              <w:right w:val="single" w:color="auto" w:sz="4" w:space="0"/>
            </w:tcBorders>
          </w:tcPr>
          <w:p>
            <w:pPr>
              <w:rPr>
                <w:rFonts w:ascii="宋体" w:hAnsi="宋体" w:cs="宋体"/>
                <w:szCs w:val="21"/>
              </w:rPr>
            </w:pPr>
          </w:p>
        </w:tc>
        <w:tc>
          <w:tcPr>
            <w:tcW w:w="2124" w:type="dxa"/>
            <w:tcBorders>
              <w:left w:val="single" w:color="auto" w:sz="4" w:space="0"/>
            </w:tcBorders>
          </w:tcPr>
          <w:p>
            <w:pPr>
              <w:rPr>
                <w:rFonts w:ascii="宋体" w:hAnsi="宋体" w:cs="宋体"/>
                <w:szCs w:val="21"/>
              </w:rPr>
            </w:pPr>
          </w:p>
        </w:tc>
        <w:tc>
          <w:tcPr>
            <w:tcW w:w="2127" w:type="dxa"/>
          </w:tcPr>
          <w:p>
            <w:pPr>
              <w:rPr>
                <w:rFonts w:ascii="宋体" w:hAnsi="宋体" w:cs="宋体"/>
                <w:szCs w:val="21"/>
              </w:rPr>
            </w:pPr>
          </w:p>
        </w:tc>
        <w:tc>
          <w:tcPr>
            <w:tcW w:w="992" w:type="dxa"/>
          </w:tcPr>
          <w:p>
            <w:pPr>
              <w:rPr>
                <w:rFonts w:ascii="宋体" w:hAnsi="宋体" w:cs="宋体"/>
                <w:szCs w:val="21"/>
              </w:rPr>
            </w:pPr>
          </w:p>
        </w:tc>
        <w:tc>
          <w:tcPr>
            <w:tcW w:w="709" w:type="dxa"/>
            <w:tcBorders>
              <w:top w:val="single" w:color="auto" w:sz="4" w:space="0"/>
              <w:bottom w:val="single" w:color="auto" w:sz="4" w:space="0"/>
            </w:tcBorders>
          </w:tcPr>
          <w:p>
            <w:pPr>
              <w:rPr>
                <w:rFonts w:ascii="宋体" w:hAnsi="宋体" w:cs="宋体"/>
                <w:szCs w:val="21"/>
              </w:rPr>
            </w:pPr>
          </w:p>
        </w:tc>
        <w:tc>
          <w:tcPr>
            <w:tcW w:w="751" w:type="dxa"/>
            <w:tcBorders>
              <w:top w:val="single" w:color="auto" w:sz="4" w:space="0"/>
              <w:bottom w:val="single" w:color="auto" w:sz="4" w:space="0"/>
            </w:tcBorders>
          </w:tcPr>
          <w:p>
            <w:pPr>
              <w:rPr>
                <w:rFonts w:ascii="宋体" w:hAnsi="宋体" w:cs="宋体"/>
                <w:szCs w:val="21"/>
              </w:rPr>
            </w:pPr>
          </w:p>
        </w:tc>
        <w:tc>
          <w:tcPr>
            <w:tcW w:w="971" w:type="dxa"/>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rFonts w:ascii="宋体" w:hAnsi="宋体" w:cs="宋体"/>
                <w:szCs w:val="21"/>
              </w:rPr>
            </w:pPr>
          </w:p>
        </w:tc>
        <w:tc>
          <w:tcPr>
            <w:tcW w:w="957" w:type="dxa"/>
            <w:tcBorders>
              <w:right w:val="single" w:color="auto" w:sz="4" w:space="0"/>
            </w:tcBorders>
          </w:tcPr>
          <w:p>
            <w:pPr>
              <w:rPr>
                <w:rFonts w:ascii="宋体" w:hAnsi="宋体" w:cs="宋体"/>
                <w:szCs w:val="21"/>
              </w:rPr>
            </w:pPr>
          </w:p>
        </w:tc>
        <w:tc>
          <w:tcPr>
            <w:tcW w:w="2124" w:type="dxa"/>
            <w:tcBorders>
              <w:left w:val="single" w:color="auto" w:sz="4" w:space="0"/>
            </w:tcBorders>
          </w:tcPr>
          <w:p>
            <w:pPr>
              <w:rPr>
                <w:rFonts w:ascii="宋体" w:hAnsi="宋体" w:cs="宋体"/>
                <w:szCs w:val="21"/>
              </w:rPr>
            </w:pPr>
          </w:p>
        </w:tc>
        <w:tc>
          <w:tcPr>
            <w:tcW w:w="2127" w:type="dxa"/>
          </w:tcPr>
          <w:p>
            <w:pPr>
              <w:rPr>
                <w:rFonts w:ascii="宋体" w:hAnsi="宋体" w:cs="宋体"/>
                <w:szCs w:val="21"/>
              </w:rPr>
            </w:pPr>
          </w:p>
        </w:tc>
        <w:tc>
          <w:tcPr>
            <w:tcW w:w="992" w:type="dxa"/>
          </w:tcPr>
          <w:p>
            <w:pPr>
              <w:rPr>
                <w:rFonts w:ascii="宋体" w:hAnsi="宋体" w:cs="宋体"/>
                <w:szCs w:val="21"/>
              </w:rPr>
            </w:pPr>
          </w:p>
        </w:tc>
        <w:tc>
          <w:tcPr>
            <w:tcW w:w="709" w:type="dxa"/>
            <w:tcBorders>
              <w:top w:val="single" w:color="auto" w:sz="4" w:space="0"/>
              <w:bottom w:val="single" w:color="auto" w:sz="4" w:space="0"/>
            </w:tcBorders>
          </w:tcPr>
          <w:p>
            <w:pPr>
              <w:rPr>
                <w:rFonts w:ascii="宋体" w:hAnsi="宋体" w:cs="宋体"/>
                <w:szCs w:val="21"/>
              </w:rPr>
            </w:pPr>
          </w:p>
        </w:tc>
        <w:tc>
          <w:tcPr>
            <w:tcW w:w="751" w:type="dxa"/>
            <w:tcBorders>
              <w:top w:val="single" w:color="auto" w:sz="4" w:space="0"/>
              <w:bottom w:val="single" w:color="auto" w:sz="4" w:space="0"/>
            </w:tcBorders>
          </w:tcPr>
          <w:p>
            <w:pPr>
              <w:rPr>
                <w:rFonts w:ascii="宋体" w:hAnsi="宋体" w:cs="宋体"/>
                <w:szCs w:val="21"/>
              </w:rPr>
            </w:pPr>
          </w:p>
        </w:tc>
        <w:tc>
          <w:tcPr>
            <w:tcW w:w="971" w:type="dxa"/>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rFonts w:ascii="宋体" w:hAnsi="宋体" w:cs="宋体"/>
                <w:szCs w:val="21"/>
              </w:rPr>
            </w:pPr>
          </w:p>
        </w:tc>
        <w:tc>
          <w:tcPr>
            <w:tcW w:w="957" w:type="dxa"/>
            <w:tcBorders>
              <w:right w:val="single" w:color="auto" w:sz="4" w:space="0"/>
            </w:tcBorders>
          </w:tcPr>
          <w:p>
            <w:pPr>
              <w:rPr>
                <w:rFonts w:ascii="宋体" w:hAnsi="宋体" w:cs="宋体"/>
                <w:szCs w:val="21"/>
              </w:rPr>
            </w:pPr>
          </w:p>
        </w:tc>
        <w:tc>
          <w:tcPr>
            <w:tcW w:w="2124" w:type="dxa"/>
            <w:tcBorders>
              <w:left w:val="single" w:color="auto" w:sz="4" w:space="0"/>
            </w:tcBorders>
          </w:tcPr>
          <w:p>
            <w:pPr>
              <w:rPr>
                <w:rFonts w:ascii="宋体" w:hAnsi="宋体" w:cs="宋体"/>
                <w:szCs w:val="21"/>
              </w:rPr>
            </w:pPr>
          </w:p>
        </w:tc>
        <w:tc>
          <w:tcPr>
            <w:tcW w:w="2127" w:type="dxa"/>
          </w:tcPr>
          <w:p>
            <w:pPr>
              <w:rPr>
                <w:rFonts w:ascii="宋体" w:hAnsi="宋体" w:cs="宋体"/>
                <w:szCs w:val="21"/>
              </w:rPr>
            </w:pPr>
          </w:p>
        </w:tc>
        <w:tc>
          <w:tcPr>
            <w:tcW w:w="992" w:type="dxa"/>
          </w:tcPr>
          <w:p>
            <w:pPr>
              <w:rPr>
                <w:rFonts w:ascii="宋体" w:hAnsi="宋体" w:cs="宋体"/>
                <w:szCs w:val="21"/>
              </w:rPr>
            </w:pPr>
          </w:p>
        </w:tc>
        <w:tc>
          <w:tcPr>
            <w:tcW w:w="709" w:type="dxa"/>
            <w:tcBorders>
              <w:top w:val="single" w:color="auto" w:sz="4" w:space="0"/>
              <w:bottom w:val="single" w:color="auto" w:sz="4" w:space="0"/>
            </w:tcBorders>
          </w:tcPr>
          <w:p>
            <w:pPr>
              <w:rPr>
                <w:rFonts w:ascii="宋体" w:hAnsi="宋体" w:cs="宋体"/>
                <w:szCs w:val="21"/>
              </w:rPr>
            </w:pPr>
          </w:p>
        </w:tc>
        <w:tc>
          <w:tcPr>
            <w:tcW w:w="751" w:type="dxa"/>
            <w:tcBorders>
              <w:top w:val="single" w:color="auto" w:sz="4" w:space="0"/>
              <w:bottom w:val="single" w:color="auto" w:sz="4" w:space="0"/>
            </w:tcBorders>
          </w:tcPr>
          <w:p>
            <w:pPr>
              <w:rPr>
                <w:rFonts w:ascii="宋体" w:hAnsi="宋体" w:cs="宋体"/>
                <w:szCs w:val="21"/>
              </w:rPr>
            </w:pPr>
          </w:p>
        </w:tc>
        <w:tc>
          <w:tcPr>
            <w:tcW w:w="971" w:type="dxa"/>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rFonts w:ascii="宋体" w:hAnsi="宋体" w:cs="宋体"/>
                <w:szCs w:val="21"/>
              </w:rPr>
            </w:pPr>
          </w:p>
        </w:tc>
        <w:tc>
          <w:tcPr>
            <w:tcW w:w="957" w:type="dxa"/>
            <w:tcBorders>
              <w:right w:val="single" w:color="auto" w:sz="4" w:space="0"/>
            </w:tcBorders>
          </w:tcPr>
          <w:p>
            <w:pPr>
              <w:rPr>
                <w:rFonts w:ascii="宋体" w:hAnsi="宋体" w:cs="宋体"/>
                <w:szCs w:val="21"/>
              </w:rPr>
            </w:pPr>
          </w:p>
        </w:tc>
        <w:tc>
          <w:tcPr>
            <w:tcW w:w="2124" w:type="dxa"/>
            <w:tcBorders>
              <w:left w:val="single" w:color="auto" w:sz="4" w:space="0"/>
            </w:tcBorders>
          </w:tcPr>
          <w:p>
            <w:pPr>
              <w:rPr>
                <w:rFonts w:ascii="宋体" w:hAnsi="宋体" w:cs="宋体"/>
                <w:szCs w:val="21"/>
              </w:rPr>
            </w:pPr>
          </w:p>
        </w:tc>
        <w:tc>
          <w:tcPr>
            <w:tcW w:w="2127" w:type="dxa"/>
          </w:tcPr>
          <w:p>
            <w:pPr>
              <w:rPr>
                <w:rFonts w:ascii="宋体" w:hAnsi="宋体" w:cs="宋体"/>
                <w:szCs w:val="21"/>
              </w:rPr>
            </w:pPr>
          </w:p>
        </w:tc>
        <w:tc>
          <w:tcPr>
            <w:tcW w:w="992" w:type="dxa"/>
          </w:tcPr>
          <w:p>
            <w:pPr>
              <w:rPr>
                <w:rFonts w:ascii="宋体" w:hAnsi="宋体" w:cs="宋体"/>
                <w:szCs w:val="21"/>
              </w:rPr>
            </w:pPr>
          </w:p>
        </w:tc>
        <w:tc>
          <w:tcPr>
            <w:tcW w:w="709" w:type="dxa"/>
            <w:tcBorders>
              <w:top w:val="single" w:color="auto" w:sz="4" w:space="0"/>
            </w:tcBorders>
          </w:tcPr>
          <w:p>
            <w:pPr>
              <w:rPr>
                <w:rFonts w:ascii="宋体" w:hAnsi="宋体" w:cs="宋体"/>
                <w:szCs w:val="21"/>
              </w:rPr>
            </w:pPr>
          </w:p>
        </w:tc>
        <w:tc>
          <w:tcPr>
            <w:tcW w:w="751" w:type="dxa"/>
            <w:tcBorders>
              <w:top w:val="single" w:color="auto" w:sz="4" w:space="0"/>
            </w:tcBorders>
          </w:tcPr>
          <w:p>
            <w:pPr>
              <w:rPr>
                <w:rFonts w:ascii="宋体" w:hAnsi="宋体" w:cs="宋体"/>
                <w:szCs w:val="21"/>
              </w:rPr>
            </w:pPr>
          </w:p>
        </w:tc>
        <w:tc>
          <w:tcPr>
            <w:tcW w:w="971" w:type="dxa"/>
          </w:tcPr>
          <w:p>
            <w:pPr>
              <w:rPr>
                <w:rFonts w:ascii="宋体" w:hAnsi="宋体" w:cs="宋体"/>
                <w:szCs w:val="21"/>
              </w:rPr>
            </w:pPr>
          </w:p>
        </w:tc>
      </w:tr>
    </w:tbl>
    <w:p>
      <w:pPr>
        <w:adjustRightInd w:val="0"/>
        <w:snapToGrid w:val="0"/>
        <w:spacing w:line="360" w:lineRule="auto"/>
        <w:rPr>
          <w:rFonts w:ascii="宋体" w:hAnsi="宋体" w:cs="宋体"/>
          <w:b/>
          <w:bCs/>
          <w:szCs w:val="21"/>
        </w:rPr>
      </w:pPr>
      <w:r>
        <w:rPr>
          <w:rFonts w:hint="eastAsia" w:ascii="宋体" w:hAnsi="宋体" w:cs="宋体"/>
          <w:b/>
          <w:bCs/>
          <w:szCs w:val="21"/>
        </w:rPr>
        <w:t>投标人必须将采购需求以本表形式列出</w:t>
      </w:r>
    </w:p>
    <w:p>
      <w:pPr>
        <w:adjustRightInd w:val="0"/>
        <w:snapToGrid w:val="0"/>
        <w:spacing w:line="360" w:lineRule="auto"/>
        <w:rPr>
          <w:rFonts w:ascii="宋体" w:hAnsi="宋体" w:cs="宋体"/>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 w:val="28"/>
          <w:szCs w:val="28"/>
        </w:rPr>
        <w:sectPr>
          <w:headerReference r:id="rId16" w:type="first"/>
          <w:headerReference r:id="rId14" w:type="default"/>
          <w:footerReference r:id="rId17" w:type="default"/>
          <w:headerReference r:id="rId15" w:type="even"/>
          <w:pgSz w:w="11906" w:h="16838"/>
          <w:pgMar w:top="1474" w:right="1474" w:bottom="1474" w:left="1588" w:header="851" w:footer="992" w:gutter="0"/>
          <w:pgNumType w:fmt="numberInDash"/>
          <w:cols w:space="720" w:num="1"/>
          <w:docGrid w:type="lines" w:linePitch="312" w:charSpace="0"/>
        </w:sectPr>
      </w:pPr>
    </w:p>
    <w:p>
      <w:pPr>
        <w:pStyle w:val="9"/>
        <w:adjustRightInd w:val="0"/>
        <w:snapToGrid w:val="0"/>
        <w:spacing w:before="156" w:beforeLines="50" w:after="0" w:line="360" w:lineRule="auto"/>
        <w:jc w:val="center"/>
        <w:rPr>
          <w:rFonts w:ascii="宋体" w:hAnsi="宋体" w:cs="宋体"/>
          <w:sz w:val="28"/>
          <w:szCs w:val="28"/>
        </w:rPr>
      </w:pPr>
      <w:bookmarkStart w:id="309" w:name="_Toc11525"/>
      <w:bookmarkStart w:id="310" w:name="_Toc4718"/>
      <w:r>
        <w:rPr>
          <w:rFonts w:hint="eastAsia" w:ascii="宋体" w:hAnsi="宋体" w:cs="宋体"/>
          <w:sz w:val="28"/>
          <w:szCs w:val="28"/>
        </w:rPr>
        <w:t>八、商务、合同条款偏离表</w:t>
      </w:r>
      <w:bookmarkEnd w:id="309"/>
      <w:bookmarkEnd w:id="310"/>
    </w:p>
    <w:p>
      <w:pPr>
        <w:adjustRightInd w:val="0"/>
        <w:snapToGrid w:val="0"/>
        <w:spacing w:line="360" w:lineRule="auto"/>
        <w:rPr>
          <w:rFonts w:ascii="宋体" w:hAnsi="宋体" w:cs="宋体"/>
          <w:szCs w:val="21"/>
        </w:rPr>
      </w:pPr>
      <w:r>
        <w:rPr>
          <w:rFonts w:hint="eastAsia" w:ascii="宋体" w:hAnsi="宋体" w:cs="宋体"/>
          <w:szCs w:val="21"/>
        </w:rPr>
        <w:t>采购代理编号：</w:t>
      </w:r>
      <w:r>
        <w:rPr>
          <w:rFonts w:hint="eastAsia" w:ascii="宋体" w:hAnsi="宋体" w:cs="宋体"/>
          <w:kern w:val="0"/>
          <w:szCs w:val="21"/>
          <w:u w:val="single"/>
        </w:rPr>
        <w:t xml:space="preserve">              </w:t>
      </w:r>
      <w:r>
        <w:rPr>
          <w:rFonts w:hint="eastAsia" w:ascii="宋体" w:hAnsi="宋体" w:cs="宋体"/>
          <w:szCs w:val="21"/>
        </w:rPr>
        <w:t xml:space="preserve">                       项目名称：</w:t>
      </w:r>
      <w:r>
        <w:rPr>
          <w:rFonts w:hint="eastAsia" w:ascii="宋体" w:hAnsi="宋体" w:cs="宋体"/>
          <w:kern w:val="0"/>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包号：</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包名称：</w:t>
      </w:r>
      <w:r>
        <w:rPr>
          <w:rFonts w:hint="eastAsia" w:ascii="宋体" w:hAnsi="宋体" w:cs="宋体"/>
          <w:kern w:val="0"/>
          <w:szCs w:val="21"/>
          <w:u w:val="single"/>
        </w:rPr>
        <w:t xml:space="preserve">              </w:t>
      </w:r>
    </w:p>
    <w:tbl>
      <w:tblPr>
        <w:tblStyle w:val="47"/>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bCs/>
                <w:szCs w:val="21"/>
              </w:rPr>
              <w:t>序</w:t>
            </w:r>
            <w:r>
              <w:rPr>
                <w:rFonts w:hint="eastAsia" w:ascii="宋体" w:hAnsi="宋体" w:cs="宋体"/>
                <w:szCs w:val="21"/>
              </w:rPr>
              <w:t>号</w:t>
            </w:r>
          </w:p>
        </w:tc>
        <w:tc>
          <w:tcPr>
            <w:tcW w:w="2410" w:type="dxa"/>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szCs w:val="21"/>
                <w:lang w:eastAsia="zh-CN"/>
              </w:rPr>
              <w:t>采购</w:t>
            </w:r>
            <w:r>
              <w:rPr>
                <w:rFonts w:hint="eastAsia" w:ascii="宋体" w:hAnsi="宋体" w:cs="宋体"/>
                <w:szCs w:val="21"/>
              </w:rPr>
              <w:t>文件章节</w:t>
            </w:r>
            <w:r>
              <w:rPr>
                <w:rFonts w:hint="eastAsia" w:ascii="宋体" w:hAnsi="宋体" w:cs="宋体"/>
                <w:bCs/>
                <w:szCs w:val="21"/>
              </w:rPr>
              <w:t>条</w:t>
            </w:r>
            <w:r>
              <w:rPr>
                <w:rFonts w:hint="eastAsia" w:ascii="宋体" w:hAnsi="宋体" w:cs="宋体"/>
                <w:szCs w:val="21"/>
              </w:rPr>
              <w:t>款号</w:t>
            </w:r>
          </w:p>
        </w:tc>
        <w:tc>
          <w:tcPr>
            <w:tcW w:w="1985" w:type="dxa"/>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lang w:eastAsia="zh-CN"/>
              </w:rPr>
              <w:t>采购</w:t>
            </w:r>
            <w:r>
              <w:rPr>
                <w:rFonts w:hint="eastAsia" w:ascii="宋体" w:hAnsi="宋体" w:cs="宋体"/>
              </w:rPr>
              <w:t>文件要求</w:t>
            </w:r>
          </w:p>
        </w:tc>
        <w:tc>
          <w:tcPr>
            <w:tcW w:w="2082" w:type="dxa"/>
            <w:tcBorders>
              <w:right w:val="single" w:color="auto" w:sz="4" w:space="0"/>
            </w:tcBorders>
            <w:vAlign w:val="center"/>
          </w:tcPr>
          <w:p>
            <w:pPr>
              <w:adjustRightInd w:val="0"/>
              <w:snapToGrid w:val="0"/>
              <w:spacing w:before="50" w:line="360" w:lineRule="auto"/>
              <w:jc w:val="center"/>
              <w:rPr>
                <w:rFonts w:ascii="宋体" w:hAnsi="宋体" w:cs="宋体"/>
                <w:szCs w:val="21"/>
              </w:rPr>
            </w:pPr>
            <w:r>
              <w:rPr>
                <w:rFonts w:hint="eastAsia" w:ascii="宋体" w:hAnsi="宋体" w:cs="宋体"/>
                <w:lang w:eastAsia="zh-CN"/>
              </w:rPr>
              <w:t>采购</w:t>
            </w:r>
            <w:r>
              <w:rPr>
                <w:rFonts w:hint="eastAsia" w:ascii="宋体" w:hAnsi="宋体" w:cs="宋体"/>
              </w:rPr>
              <w:t>文件的应答</w:t>
            </w: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Pr>
          <w:p>
            <w:pPr>
              <w:adjustRightInd w:val="0"/>
              <w:snapToGrid w:val="0"/>
              <w:spacing w:before="50" w:line="360" w:lineRule="auto"/>
              <w:rPr>
                <w:rFonts w:ascii="宋体" w:hAnsi="宋体" w:cs="宋体"/>
              </w:rPr>
            </w:pPr>
          </w:p>
        </w:tc>
        <w:tc>
          <w:tcPr>
            <w:tcW w:w="2082" w:type="dxa"/>
            <w:tcBorders>
              <w:right w:val="single" w:color="auto" w:sz="4" w:space="0"/>
            </w:tcBorders>
          </w:tcPr>
          <w:p>
            <w:pPr>
              <w:adjustRightInd w:val="0"/>
              <w:snapToGrid w:val="0"/>
              <w:spacing w:before="50" w:line="360" w:lineRule="auto"/>
              <w:rPr>
                <w:rFonts w:ascii="宋体" w:hAnsi="宋体" w:cs="宋体"/>
              </w:rPr>
            </w:pPr>
          </w:p>
        </w:tc>
        <w:tc>
          <w:tcPr>
            <w:tcW w:w="1942" w:type="dxa"/>
            <w:tcBorders>
              <w:left w:val="single" w:color="auto" w:sz="4" w:space="0"/>
            </w:tcBorders>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vAlign w:val="center"/>
          </w:tcPr>
          <w:p>
            <w:pPr>
              <w:adjustRightInd w:val="0"/>
              <w:snapToGrid w:val="0"/>
              <w:spacing w:before="50" w:line="360" w:lineRule="auto"/>
              <w:ind w:left="-88" w:leftChars="-42"/>
              <w:jc w:val="center"/>
              <w:rPr>
                <w:rFonts w:ascii="宋体" w:hAnsi="宋体" w:cs="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vAlign w:val="center"/>
          </w:tcPr>
          <w:p>
            <w:pPr>
              <w:adjustRightInd w:val="0"/>
              <w:snapToGrid w:val="0"/>
              <w:spacing w:before="50" w:line="360" w:lineRule="auto"/>
              <w:ind w:left="-88" w:leftChars="-42"/>
              <w:jc w:val="center"/>
              <w:rPr>
                <w:rFonts w:ascii="宋体" w:hAnsi="宋体" w:cs="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vAlign w:val="center"/>
          </w:tcPr>
          <w:p>
            <w:pPr>
              <w:adjustRightInd w:val="0"/>
              <w:snapToGrid w:val="0"/>
              <w:spacing w:before="50" w:line="360" w:lineRule="auto"/>
              <w:ind w:left="-88" w:leftChars="-42"/>
              <w:jc w:val="center"/>
              <w:rPr>
                <w:rFonts w:ascii="宋体" w:hAnsi="宋体" w:cs="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vAlign w:val="center"/>
          </w:tcPr>
          <w:p>
            <w:pPr>
              <w:adjustRightInd w:val="0"/>
              <w:snapToGrid w:val="0"/>
              <w:spacing w:before="50" w:line="360" w:lineRule="auto"/>
              <w:ind w:left="-88" w:leftChars="-42"/>
              <w:jc w:val="center"/>
              <w:rPr>
                <w:rFonts w:ascii="宋体" w:hAnsi="宋体" w:cs="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vAlign w:val="center"/>
          </w:tcPr>
          <w:p>
            <w:pPr>
              <w:adjustRightInd w:val="0"/>
              <w:snapToGrid w:val="0"/>
              <w:spacing w:before="50" w:line="360" w:lineRule="auto"/>
              <w:ind w:left="-88" w:leftChars="-42"/>
              <w:jc w:val="center"/>
              <w:rPr>
                <w:rFonts w:ascii="宋体" w:hAnsi="宋体" w:cs="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vAlign w:val="center"/>
          </w:tcPr>
          <w:p>
            <w:pPr>
              <w:adjustRightInd w:val="0"/>
              <w:snapToGrid w:val="0"/>
              <w:spacing w:before="50" w:line="360" w:lineRule="auto"/>
              <w:ind w:left="-88" w:leftChars="-42"/>
              <w:jc w:val="center"/>
              <w:rPr>
                <w:rFonts w:ascii="宋体" w:hAnsi="宋体" w:cs="宋体"/>
                <w:szCs w:val="21"/>
              </w:rPr>
            </w:pPr>
          </w:p>
        </w:tc>
        <w:tc>
          <w:tcPr>
            <w:tcW w:w="4024" w:type="dxa"/>
            <w:gridSpan w:val="2"/>
            <w:vAlign w:val="center"/>
          </w:tcPr>
          <w:p>
            <w:pPr>
              <w:adjustRightInd w:val="0"/>
              <w:snapToGrid w:val="0"/>
              <w:spacing w:before="50" w:line="360" w:lineRule="auto"/>
              <w:ind w:firstLine="422" w:firstLineChars="200"/>
              <w:jc w:val="left"/>
              <w:rPr>
                <w:rFonts w:ascii="宋体" w:hAnsi="宋体" w:cs="宋体"/>
                <w:b/>
                <w:szCs w:val="21"/>
              </w:rPr>
            </w:pPr>
            <w:r>
              <w:rPr>
                <w:rFonts w:hint="eastAsia" w:ascii="宋体" w:hAnsi="宋体" w:cs="宋体"/>
                <w:b/>
                <w:szCs w:val="21"/>
              </w:rPr>
              <w:t>投标人保证：除本商务、合同条款偏离表列出的偏离外，我单位对</w:t>
            </w:r>
            <w:r>
              <w:rPr>
                <w:rFonts w:hint="eastAsia" w:ascii="宋体" w:hAnsi="宋体" w:cs="宋体"/>
                <w:b/>
                <w:szCs w:val="21"/>
                <w:lang w:eastAsia="zh-CN"/>
              </w:rPr>
              <w:t>采购</w:t>
            </w:r>
            <w:r>
              <w:rPr>
                <w:rFonts w:hint="eastAsia" w:ascii="宋体" w:hAnsi="宋体" w:cs="宋体"/>
                <w:b/>
                <w:szCs w:val="21"/>
              </w:rPr>
              <w:t>文件的其他商务、合同条款完全响应，无偏离。</w:t>
            </w:r>
          </w:p>
        </w:tc>
      </w:tr>
    </w:tbl>
    <w:p>
      <w:pPr>
        <w:adjustRightInd w:val="0"/>
        <w:snapToGrid w:val="0"/>
        <w:spacing w:before="50" w:line="360" w:lineRule="auto"/>
        <w:ind w:left="-88" w:leftChars="-42"/>
        <w:rPr>
          <w:rFonts w:ascii="宋体" w:hAnsi="宋体" w:cs="宋体"/>
          <w:szCs w:val="21"/>
        </w:rPr>
      </w:pPr>
      <w:r>
        <w:rPr>
          <w:rFonts w:hint="eastAsia" w:ascii="宋体" w:hAnsi="宋体" w:cs="宋体"/>
          <w:b/>
          <w:szCs w:val="21"/>
        </w:rPr>
        <w:t>备注</w:t>
      </w:r>
      <w:r>
        <w:rPr>
          <w:rFonts w:hint="eastAsia" w:ascii="宋体" w:hAnsi="宋体" w:cs="宋体"/>
          <w:szCs w:val="21"/>
        </w:rPr>
        <w:t>：（1）投标人应根据</w:t>
      </w:r>
      <w:r>
        <w:rPr>
          <w:rFonts w:hint="eastAsia" w:ascii="宋体" w:hAnsi="宋体" w:cs="宋体"/>
          <w:szCs w:val="21"/>
          <w:lang w:eastAsia="zh-CN"/>
        </w:rPr>
        <w:t>采购</w:t>
      </w:r>
      <w:r>
        <w:rPr>
          <w:rFonts w:hint="eastAsia" w:ascii="宋体" w:hAnsi="宋体" w:cs="宋体"/>
          <w:szCs w:val="21"/>
        </w:rPr>
        <w:t>文件第二章投标须知及第六章政府采购合同填写本表；</w:t>
      </w:r>
    </w:p>
    <w:p>
      <w:pPr>
        <w:adjustRightInd w:val="0"/>
        <w:snapToGrid w:val="0"/>
        <w:spacing w:before="50" w:line="360" w:lineRule="auto"/>
        <w:ind w:left="-88" w:leftChars="-42" w:firstLine="420" w:firstLineChars="200"/>
        <w:rPr>
          <w:rFonts w:ascii="宋体" w:hAnsi="宋体" w:cs="宋体"/>
          <w:b/>
          <w:szCs w:val="21"/>
        </w:rPr>
      </w:pPr>
      <w:r>
        <w:rPr>
          <w:rFonts w:hint="eastAsia" w:ascii="宋体" w:hAnsi="宋体" w:cs="宋体"/>
          <w:szCs w:val="21"/>
        </w:rPr>
        <w:t>（2）</w:t>
      </w:r>
      <w:r>
        <w:rPr>
          <w:rFonts w:hint="eastAsia" w:ascii="宋体" w:hAnsi="宋体" w:cs="宋体"/>
          <w:b/>
          <w:szCs w:val="21"/>
        </w:rPr>
        <w:t>投标人如果对</w:t>
      </w:r>
      <w:r>
        <w:rPr>
          <w:rFonts w:hint="eastAsia" w:ascii="宋体" w:hAnsi="宋体" w:cs="宋体"/>
          <w:b/>
          <w:szCs w:val="21"/>
          <w:lang w:eastAsia="zh-CN"/>
        </w:rPr>
        <w:t>采购</w:t>
      </w:r>
      <w:r>
        <w:rPr>
          <w:rFonts w:hint="eastAsia" w:ascii="宋体" w:hAnsi="宋体" w:cs="宋体"/>
          <w:b/>
          <w:szCs w:val="21"/>
        </w:rPr>
        <w:t>文件第二章投标须知及第六章政府采购合同条款的响应有偏离，应将偏离条款逐条如实应答，并作出说明；</w:t>
      </w:r>
    </w:p>
    <w:p>
      <w:pPr>
        <w:adjustRightInd w:val="0"/>
        <w:snapToGrid w:val="0"/>
        <w:spacing w:before="50" w:line="360" w:lineRule="auto"/>
        <w:ind w:left="-88" w:leftChars="-42" w:firstLine="420" w:firstLineChars="200"/>
        <w:rPr>
          <w:rFonts w:ascii="宋体" w:hAnsi="宋体" w:cs="宋体"/>
          <w:szCs w:val="21"/>
        </w:rPr>
      </w:pPr>
      <w:r>
        <w:rPr>
          <w:rFonts w:hint="eastAsia" w:ascii="宋体" w:hAnsi="宋体" w:cs="宋体"/>
          <w:szCs w:val="21"/>
        </w:rPr>
        <w:t>（3）如不提供此表，则视为投标人不满足</w:t>
      </w:r>
      <w:r>
        <w:rPr>
          <w:rFonts w:hint="eastAsia" w:ascii="宋体" w:hAnsi="宋体" w:cs="宋体"/>
          <w:szCs w:val="21"/>
          <w:lang w:eastAsia="zh-CN"/>
        </w:rPr>
        <w:t>采购</w:t>
      </w:r>
      <w:r>
        <w:rPr>
          <w:rFonts w:hint="eastAsia" w:ascii="宋体" w:hAnsi="宋体" w:cs="宋体"/>
          <w:szCs w:val="21"/>
        </w:rPr>
        <w:t>文件第六章的所有条款要求，其投标无效。</w:t>
      </w:r>
    </w:p>
    <w:p>
      <w:pPr>
        <w:adjustRightInd w:val="0"/>
        <w:snapToGrid w:val="0"/>
        <w:spacing w:before="50" w:line="360" w:lineRule="auto"/>
        <w:ind w:left="-88" w:leftChars="-42" w:firstLine="420" w:firstLineChars="200"/>
        <w:rPr>
          <w:rFonts w:ascii="宋体" w:hAnsi="宋体" w:cs="宋体"/>
          <w:szCs w:val="21"/>
        </w:rPr>
      </w:pPr>
      <w:r>
        <w:rPr>
          <w:rFonts w:hint="eastAsia" w:ascii="宋体" w:hAnsi="宋体" w:cs="宋体"/>
          <w:szCs w:val="21"/>
        </w:rPr>
        <w:t>（4）在采购人与中标人签订合同时，如中标人未在投标文件“商务、合同条款偏离表”中列出偏离说明，无论已发生或即将发生任何情形，均视为完全符合</w:t>
      </w:r>
      <w:r>
        <w:rPr>
          <w:rFonts w:hint="eastAsia" w:ascii="宋体" w:hAnsi="宋体" w:cs="宋体"/>
          <w:szCs w:val="21"/>
          <w:lang w:eastAsia="zh-CN"/>
        </w:rPr>
        <w:t>采购</w:t>
      </w:r>
      <w:r>
        <w:rPr>
          <w:rFonts w:hint="eastAsia" w:ascii="宋体" w:hAnsi="宋体" w:cs="宋体"/>
          <w:szCs w:val="21"/>
        </w:rPr>
        <w:t>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宋体" w:hAnsi="宋体" w:cs="宋体"/>
          <w:szCs w:val="21"/>
        </w:rPr>
      </w:pPr>
    </w:p>
    <w:p>
      <w:pPr>
        <w:adjustRightInd w:val="0"/>
        <w:snapToGrid w:val="0"/>
        <w:spacing w:before="50" w:line="360" w:lineRule="auto"/>
        <w:rPr>
          <w:rFonts w:ascii="宋体" w:hAnsi="宋体" w:cs="宋体"/>
          <w:szCs w:val="21"/>
        </w:rPr>
      </w:pPr>
    </w:p>
    <w:p>
      <w:pPr>
        <w:adjustRightInd w:val="0"/>
        <w:snapToGrid w:val="0"/>
        <w:spacing w:before="50" w:line="360" w:lineRule="auto"/>
        <w:rPr>
          <w:rFonts w:ascii="宋体" w:hAnsi="宋体" w:cs="宋体"/>
          <w:szCs w:val="21"/>
        </w:rPr>
      </w:pPr>
      <w:r>
        <w:rPr>
          <w:rFonts w:hint="eastAsia" w:ascii="宋体" w:hAnsi="宋体" w:cs="宋体"/>
          <w:szCs w:val="21"/>
        </w:rPr>
        <w:t>投标人名称（盖单位章）：</w:t>
      </w:r>
    </w:p>
    <w:p>
      <w:pPr>
        <w:adjustRightInd w:val="0"/>
        <w:snapToGrid w:val="0"/>
        <w:spacing w:before="50" w:line="360" w:lineRule="auto"/>
        <w:rPr>
          <w:rFonts w:ascii="宋体" w:hAnsi="宋体" w:cs="宋体"/>
          <w:szCs w:val="21"/>
        </w:rPr>
      </w:pPr>
      <w:r>
        <w:rPr>
          <w:rFonts w:hint="eastAsia" w:ascii="宋体" w:hAnsi="宋体" w:cs="宋体"/>
          <w:szCs w:val="21"/>
        </w:rPr>
        <w:t>法定代表人或其授权的代理人（签字或印章）：</w:t>
      </w:r>
    </w:p>
    <w:p>
      <w:pPr>
        <w:adjustRightInd w:val="0"/>
        <w:snapToGrid w:val="0"/>
        <w:spacing w:before="50" w:line="360" w:lineRule="auto"/>
        <w:rPr>
          <w:rFonts w:ascii="宋体" w:hAnsi="宋体" w:cs="宋体"/>
          <w:b/>
          <w:bCs/>
          <w:sz w:val="28"/>
          <w:szCs w:val="28"/>
        </w:rPr>
      </w:pPr>
      <w:r>
        <w:rPr>
          <w:rFonts w:hint="eastAsia" w:ascii="宋体" w:hAnsi="宋体" w:cs="宋体"/>
          <w:szCs w:val="21"/>
        </w:rPr>
        <w:t>日       期：年月_日</w:t>
      </w:r>
      <w:r>
        <w:rPr>
          <w:rFonts w:hint="eastAsia" w:ascii="宋体" w:hAnsi="宋体" w:cs="宋体"/>
          <w:sz w:val="28"/>
          <w:szCs w:val="28"/>
        </w:rPr>
        <w:br w:type="page"/>
      </w:r>
    </w:p>
    <w:p>
      <w:pPr>
        <w:pStyle w:val="9"/>
        <w:adjustRightInd w:val="0"/>
        <w:snapToGrid w:val="0"/>
        <w:spacing w:before="156" w:beforeLines="50" w:after="0" w:line="360" w:lineRule="auto"/>
        <w:jc w:val="center"/>
        <w:rPr>
          <w:rFonts w:ascii="宋体" w:hAnsi="宋体" w:cs="宋体"/>
          <w:sz w:val="28"/>
          <w:szCs w:val="28"/>
        </w:rPr>
      </w:pPr>
      <w:bookmarkStart w:id="311" w:name="_Toc19745"/>
      <w:bookmarkStart w:id="312" w:name="_Toc13033"/>
      <w:r>
        <w:rPr>
          <w:rFonts w:hint="eastAsia" w:ascii="宋体" w:hAnsi="宋体" w:cs="宋体"/>
          <w:sz w:val="28"/>
          <w:szCs w:val="28"/>
        </w:rPr>
        <w:t>九、采购需求偏离表</w:t>
      </w:r>
      <w:bookmarkEnd w:id="311"/>
      <w:bookmarkEnd w:id="312"/>
    </w:p>
    <w:p>
      <w:pPr>
        <w:adjustRightInd w:val="0"/>
        <w:snapToGrid w:val="0"/>
        <w:spacing w:line="360" w:lineRule="auto"/>
        <w:rPr>
          <w:rFonts w:ascii="宋体" w:hAnsi="宋体" w:cs="宋体"/>
          <w:szCs w:val="21"/>
        </w:rPr>
      </w:pPr>
      <w:r>
        <w:rPr>
          <w:rFonts w:hint="eastAsia" w:ascii="宋体" w:hAnsi="宋体" w:cs="宋体"/>
          <w:szCs w:val="21"/>
        </w:rPr>
        <w:t>采购代理编号：</w:t>
      </w:r>
      <w:r>
        <w:rPr>
          <w:rFonts w:hint="eastAsia" w:ascii="宋体" w:hAnsi="宋体" w:cs="宋体"/>
          <w:kern w:val="0"/>
          <w:szCs w:val="21"/>
          <w:u w:val="single"/>
        </w:rPr>
        <w:t xml:space="preserve">              </w:t>
      </w:r>
      <w:r>
        <w:rPr>
          <w:rFonts w:hint="eastAsia" w:ascii="宋体" w:hAnsi="宋体" w:cs="宋体"/>
          <w:szCs w:val="21"/>
        </w:rPr>
        <w:t xml:space="preserve">                       项目名称：</w:t>
      </w:r>
      <w:r>
        <w:rPr>
          <w:rFonts w:hint="eastAsia" w:ascii="宋体" w:hAnsi="宋体" w:cs="宋体"/>
          <w:kern w:val="0"/>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包号：</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包名称：</w:t>
      </w:r>
      <w:r>
        <w:rPr>
          <w:rFonts w:hint="eastAsia" w:ascii="宋体" w:hAnsi="宋体" w:cs="宋体"/>
          <w:kern w:val="0"/>
          <w:szCs w:val="21"/>
          <w:u w:val="single"/>
        </w:rPr>
        <w:t xml:space="preserve">              </w:t>
      </w:r>
    </w:p>
    <w:tbl>
      <w:tblPr>
        <w:tblStyle w:val="47"/>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bCs/>
                <w:szCs w:val="21"/>
              </w:rPr>
              <w:t>序</w:t>
            </w:r>
            <w:r>
              <w:rPr>
                <w:rFonts w:hint="eastAsia" w:ascii="宋体" w:hAnsi="宋体" w:cs="宋体"/>
                <w:szCs w:val="21"/>
              </w:rPr>
              <w:t>号</w:t>
            </w:r>
          </w:p>
        </w:tc>
        <w:tc>
          <w:tcPr>
            <w:tcW w:w="2410" w:type="dxa"/>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szCs w:val="21"/>
                <w:lang w:eastAsia="zh-CN"/>
              </w:rPr>
              <w:t>采购</w:t>
            </w:r>
            <w:r>
              <w:rPr>
                <w:rFonts w:hint="eastAsia" w:ascii="宋体" w:hAnsi="宋体" w:cs="宋体"/>
                <w:szCs w:val="21"/>
              </w:rPr>
              <w:t>文件章节</w:t>
            </w:r>
            <w:r>
              <w:rPr>
                <w:rFonts w:hint="eastAsia" w:ascii="宋体" w:hAnsi="宋体" w:cs="宋体"/>
                <w:bCs/>
                <w:szCs w:val="21"/>
              </w:rPr>
              <w:t>条</w:t>
            </w:r>
            <w:r>
              <w:rPr>
                <w:rFonts w:hint="eastAsia" w:ascii="宋体" w:hAnsi="宋体" w:cs="宋体"/>
                <w:szCs w:val="21"/>
              </w:rPr>
              <w:t>款号</w:t>
            </w:r>
          </w:p>
        </w:tc>
        <w:tc>
          <w:tcPr>
            <w:tcW w:w="1985" w:type="dxa"/>
            <w:tcBorders>
              <w:right w:val="single" w:color="auto" w:sz="4" w:space="0"/>
            </w:tcBorders>
          </w:tcPr>
          <w:p>
            <w:pPr>
              <w:adjustRightInd w:val="0"/>
              <w:snapToGrid w:val="0"/>
              <w:spacing w:before="50" w:line="360" w:lineRule="auto"/>
              <w:jc w:val="center"/>
              <w:rPr>
                <w:rFonts w:ascii="宋体" w:hAnsi="宋体" w:cs="宋体"/>
              </w:rPr>
            </w:pPr>
            <w:r>
              <w:rPr>
                <w:rFonts w:hint="eastAsia" w:ascii="宋体" w:hAnsi="宋体" w:cs="宋体"/>
                <w:lang w:eastAsia="zh-CN"/>
              </w:rPr>
              <w:t>采购</w:t>
            </w:r>
            <w:r>
              <w:rPr>
                <w:rFonts w:hint="eastAsia" w:ascii="宋体" w:hAnsi="宋体" w:cs="宋体"/>
              </w:rPr>
              <w:t>文件要求</w:t>
            </w:r>
          </w:p>
        </w:tc>
        <w:tc>
          <w:tcPr>
            <w:tcW w:w="2126" w:type="dxa"/>
            <w:tcBorders>
              <w:left w:val="single" w:color="auto" w:sz="4" w:space="0"/>
            </w:tcBorders>
          </w:tcPr>
          <w:p>
            <w:pPr>
              <w:adjustRightInd w:val="0"/>
              <w:snapToGrid w:val="0"/>
              <w:spacing w:before="50" w:line="360" w:lineRule="auto"/>
              <w:jc w:val="center"/>
              <w:rPr>
                <w:rFonts w:ascii="宋体" w:hAnsi="宋体" w:cs="宋体"/>
              </w:rPr>
            </w:pPr>
            <w:r>
              <w:rPr>
                <w:rFonts w:hint="eastAsia" w:ascii="宋体" w:hAnsi="宋体" w:cs="宋体"/>
              </w:rPr>
              <w:t>投标文件应答</w:t>
            </w:r>
          </w:p>
        </w:tc>
        <w:tc>
          <w:tcPr>
            <w:tcW w:w="1756" w:type="dxa"/>
            <w:vAlign w:val="center"/>
          </w:tcPr>
          <w:p>
            <w:pPr>
              <w:adjustRightInd w:val="0"/>
              <w:snapToGrid w:val="0"/>
              <w:spacing w:before="50" w:line="360" w:lineRule="auto"/>
              <w:ind w:left="-88" w:leftChars="-42"/>
              <w:jc w:val="center"/>
              <w:rPr>
                <w:rFonts w:ascii="宋体" w:hAnsi="宋体" w:cs="宋体"/>
                <w:szCs w:val="21"/>
              </w:rPr>
            </w:pPr>
            <w:r>
              <w:rPr>
                <w:rFonts w:hint="eastAsia" w:ascii="宋体" w:hAnsi="宋体" w:cs="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756" w:type="dxa"/>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756" w:type="dxa"/>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756" w:type="dxa"/>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756" w:type="dxa"/>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1756" w:type="dxa"/>
            <w:vAlign w:val="center"/>
          </w:tcPr>
          <w:p>
            <w:pPr>
              <w:adjustRightInd w:val="0"/>
              <w:snapToGrid w:val="0"/>
              <w:spacing w:before="50" w:line="360" w:lineRule="auto"/>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cs="宋体"/>
                <w:szCs w:val="21"/>
              </w:rPr>
            </w:pPr>
          </w:p>
        </w:tc>
        <w:tc>
          <w:tcPr>
            <w:tcW w:w="2410" w:type="dxa"/>
            <w:vAlign w:val="center"/>
          </w:tcPr>
          <w:p>
            <w:pPr>
              <w:adjustRightInd w:val="0"/>
              <w:snapToGrid w:val="0"/>
              <w:spacing w:before="50" w:line="360" w:lineRule="auto"/>
              <w:ind w:left="-88" w:leftChars="-42"/>
              <w:jc w:val="center"/>
              <w:rPr>
                <w:rFonts w:ascii="宋体" w:hAnsi="宋体" w:cs="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cs="宋体"/>
                <w:szCs w:val="21"/>
              </w:rPr>
            </w:pPr>
          </w:p>
        </w:tc>
        <w:tc>
          <w:tcPr>
            <w:tcW w:w="3882" w:type="dxa"/>
            <w:gridSpan w:val="2"/>
            <w:tcBorders>
              <w:left w:val="single" w:color="auto" w:sz="4" w:space="0"/>
            </w:tcBorders>
            <w:vAlign w:val="center"/>
          </w:tcPr>
          <w:p>
            <w:pPr>
              <w:adjustRightInd w:val="0"/>
              <w:snapToGrid w:val="0"/>
              <w:spacing w:before="50" w:line="360" w:lineRule="auto"/>
              <w:ind w:firstLine="422" w:firstLineChars="200"/>
              <w:rPr>
                <w:rFonts w:ascii="宋体" w:hAnsi="宋体" w:cs="宋体"/>
                <w:szCs w:val="21"/>
              </w:rPr>
            </w:pPr>
            <w:r>
              <w:rPr>
                <w:rFonts w:hint="eastAsia" w:ascii="宋体" w:hAnsi="宋体" w:cs="宋体"/>
                <w:b/>
                <w:szCs w:val="21"/>
              </w:rPr>
              <w:t>投标人保证：除本采购需求偏离表列出的偏离外，我单位对</w:t>
            </w:r>
            <w:r>
              <w:rPr>
                <w:rFonts w:hint="eastAsia" w:ascii="宋体" w:hAnsi="宋体" w:cs="宋体"/>
                <w:b/>
                <w:szCs w:val="21"/>
                <w:lang w:eastAsia="zh-CN"/>
              </w:rPr>
              <w:t>采购</w:t>
            </w:r>
            <w:r>
              <w:rPr>
                <w:rFonts w:hint="eastAsia" w:ascii="宋体" w:hAnsi="宋体" w:cs="宋体"/>
                <w:b/>
                <w:szCs w:val="21"/>
              </w:rPr>
              <w:t>文件的其他采购需求条款完全响应，无偏离。</w:t>
            </w:r>
          </w:p>
        </w:tc>
      </w:tr>
    </w:tbl>
    <w:p>
      <w:pPr>
        <w:adjustRightInd w:val="0"/>
        <w:snapToGrid w:val="0"/>
        <w:spacing w:before="50" w:line="360" w:lineRule="auto"/>
        <w:ind w:left="-88" w:leftChars="-42"/>
        <w:rPr>
          <w:rFonts w:ascii="宋体" w:hAnsi="宋体" w:cs="宋体"/>
          <w:szCs w:val="21"/>
        </w:rPr>
      </w:pPr>
      <w:r>
        <w:rPr>
          <w:rFonts w:hint="eastAsia" w:ascii="宋体" w:hAnsi="宋体" w:cs="宋体"/>
          <w:b/>
          <w:szCs w:val="21"/>
        </w:rPr>
        <w:t>备注</w:t>
      </w:r>
      <w:r>
        <w:rPr>
          <w:rFonts w:hint="eastAsia" w:ascii="宋体" w:hAnsi="宋体" w:cs="宋体"/>
          <w:szCs w:val="21"/>
        </w:rPr>
        <w:t>：（1）投标人应根据</w:t>
      </w:r>
      <w:r>
        <w:rPr>
          <w:rFonts w:hint="eastAsia" w:ascii="宋体" w:hAnsi="宋体" w:cs="宋体"/>
          <w:szCs w:val="21"/>
          <w:lang w:eastAsia="zh-CN"/>
        </w:rPr>
        <w:t>采购</w:t>
      </w:r>
      <w:r>
        <w:rPr>
          <w:rFonts w:hint="eastAsia" w:ascii="宋体" w:hAnsi="宋体" w:cs="宋体"/>
          <w:szCs w:val="21"/>
        </w:rPr>
        <w:t>文件第五章中采购需求填写本表；</w:t>
      </w:r>
    </w:p>
    <w:p>
      <w:pPr>
        <w:adjustRightInd w:val="0"/>
        <w:snapToGrid w:val="0"/>
        <w:spacing w:before="50" w:line="360" w:lineRule="auto"/>
        <w:ind w:left="-88" w:leftChars="-42" w:firstLine="420" w:firstLineChars="200"/>
        <w:rPr>
          <w:rFonts w:ascii="宋体" w:hAnsi="宋体" w:cs="宋体"/>
          <w:color w:val="FF0000"/>
          <w:szCs w:val="21"/>
        </w:rPr>
      </w:pPr>
      <w:r>
        <w:rPr>
          <w:rFonts w:hint="eastAsia" w:ascii="宋体" w:hAnsi="宋体" w:cs="宋体"/>
          <w:szCs w:val="21"/>
        </w:rPr>
        <w:t>（2）</w:t>
      </w:r>
      <w:r>
        <w:rPr>
          <w:rFonts w:hint="eastAsia" w:ascii="宋体" w:hAnsi="宋体" w:cs="宋体"/>
          <w:b/>
          <w:szCs w:val="21"/>
        </w:rPr>
        <w:t>投标人如果对</w:t>
      </w:r>
      <w:r>
        <w:rPr>
          <w:rFonts w:hint="eastAsia" w:ascii="宋体" w:hAnsi="宋体" w:cs="宋体"/>
          <w:b/>
          <w:szCs w:val="21"/>
          <w:lang w:eastAsia="zh-CN"/>
        </w:rPr>
        <w:t>采购</w:t>
      </w:r>
      <w:r>
        <w:rPr>
          <w:rFonts w:hint="eastAsia" w:ascii="宋体" w:hAnsi="宋体" w:cs="宋体"/>
          <w:b/>
          <w:szCs w:val="21"/>
        </w:rPr>
        <w:t>文件第五章中采购需求的响应有偏离，应将偏离条款逐条如实应答，并作出说明</w:t>
      </w:r>
      <w:r>
        <w:rPr>
          <w:rFonts w:hint="eastAsia" w:ascii="宋体" w:hAnsi="宋体" w:cs="宋体"/>
          <w:szCs w:val="21"/>
        </w:rPr>
        <w:t>；</w:t>
      </w:r>
    </w:p>
    <w:p>
      <w:pPr>
        <w:adjustRightInd w:val="0"/>
        <w:snapToGrid w:val="0"/>
        <w:spacing w:before="50" w:line="360" w:lineRule="auto"/>
        <w:ind w:left="-88" w:leftChars="-42" w:firstLine="420" w:firstLineChars="200"/>
        <w:rPr>
          <w:rFonts w:ascii="宋体" w:hAnsi="宋体" w:cs="宋体"/>
          <w:szCs w:val="21"/>
        </w:rPr>
      </w:pPr>
      <w:r>
        <w:rPr>
          <w:rFonts w:hint="eastAsia" w:ascii="宋体" w:hAnsi="宋体" w:cs="宋体"/>
          <w:szCs w:val="21"/>
        </w:rPr>
        <w:t>（3）如不提供此表，则视为投标人不满足</w:t>
      </w:r>
      <w:r>
        <w:rPr>
          <w:rFonts w:hint="eastAsia" w:ascii="宋体" w:hAnsi="宋体" w:cs="宋体"/>
          <w:szCs w:val="21"/>
          <w:lang w:eastAsia="zh-CN"/>
        </w:rPr>
        <w:t>采购</w:t>
      </w:r>
      <w:r>
        <w:rPr>
          <w:rFonts w:hint="eastAsia" w:ascii="宋体" w:hAnsi="宋体" w:cs="宋体"/>
          <w:szCs w:val="21"/>
        </w:rPr>
        <w:t>文件第五章的所有条款要求，其投标无效。</w:t>
      </w:r>
    </w:p>
    <w:p>
      <w:pPr>
        <w:adjustRightInd w:val="0"/>
        <w:snapToGrid w:val="0"/>
        <w:spacing w:before="50" w:line="360" w:lineRule="auto"/>
        <w:ind w:left="-88" w:leftChars="-42" w:firstLine="420" w:firstLineChars="200"/>
        <w:rPr>
          <w:rFonts w:ascii="宋体" w:hAnsi="宋体" w:cs="宋体"/>
          <w:szCs w:val="21"/>
        </w:rPr>
      </w:pPr>
      <w:r>
        <w:rPr>
          <w:rFonts w:hint="eastAsia" w:ascii="宋体" w:hAnsi="宋体" w:cs="宋体"/>
          <w:szCs w:val="21"/>
        </w:rPr>
        <w:t>（4）在采购人与中标人签订合同时，如中标人未在投标文件“采购需求偏离表”中列出偏离说明，无论已发生或即将发生任何情形，均视为完全符合</w:t>
      </w:r>
      <w:r>
        <w:rPr>
          <w:rFonts w:hint="eastAsia" w:ascii="宋体" w:hAnsi="宋体" w:cs="宋体"/>
          <w:szCs w:val="21"/>
          <w:lang w:eastAsia="zh-CN"/>
        </w:rPr>
        <w:t>采购</w:t>
      </w:r>
      <w:r>
        <w:rPr>
          <w:rFonts w:hint="eastAsia" w:ascii="宋体" w:hAnsi="宋体" w:cs="宋体"/>
          <w:szCs w:val="21"/>
        </w:rPr>
        <w:t>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宋体" w:hAnsi="宋体" w:cs="宋体"/>
          <w:szCs w:val="21"/>
        </w:rPr>
      </w:pPr>
    </w:p>
    <w:p>
      <w:pPr>
        <w:adjustRightInd w:val="0"/>
        <w:snapToGrid w:val="0"/>
        <w:spacing w:before="50" w:line="360" w:lineRule="auto"/>
        <w:rPr>
          <w:rFonts w:ascii="宋体" w:hAnsi="宋体" w:cs="宋体"/>
          <w:szCs w:val="21"/>
        </w:rPr>
      </w:pPr>
    </w:p>
    <w:p>
      <w:pPr>
        <w:adjustRightInd w:val="0"/>
        <w:snapToGrid w:val="0"/>
        <w:spacing w:before="50" w:line="360" w:lineRule="auto"/>
        <w:rPr>
          <w:rFonts w:ascii="宋体" w:hAnsi="宋体" w:cs="宋体"/>
          <w:szCs w:val="21"/>
        </w:rPr>
      </w:pPr>
      <w:r>
        <w:rPr>
          <w:rFonts w:hint="eastAsia" w:ascii="宋体" w:hAnsi="宋体" w:cs="宋体"/>
          <w:szCs w:val="21"/>
        </w:rPr>
        <w:t>投标人名称（盖单位章）：</w:t>
      </w:r>
    </w:p>
    <w:p>
      <w:pPr>
        <w:adjustRightInd w:val="0"/>
        <w:snapToGrid w:val="0"/>
        <w:spacing w:before="50" w:line="360" w:lineRule="auto"/>
        <w:rPr>
          <w:rFonts w:ascii="宋体" w:hAnsi="宋体" w:cs="宋体"/>
          <w:szCs w:val="21"/>
        </w:rPr>
      </w:pPr>
      <w:r>
        <w:rPr>
          <w:rFonts w:hint="eastAsia" w:ascii="宋体" w:hAnsi="宋体" w:cs="宋体"/>
          <w:szCs w:val="21"/>
        </w:rPr>
        <w:t>法定代表人或其授权的代理人（签字或印章）：</w:t>
      </w:r>
    </w:p>
    <w:p>
      <w:pPr>
        <w:adjustRightInd w:val="0"/>
        <w:snapToGrid w:val="0"/>
        <w:spacing w:before="50" w:line="360" w:lineRule="auto"/>
        <w:rPr>
          <w:rFonts w:ascii="宋体" w:hAnsi="宋体" w:cs="宋体"/>
          <w:szCs w:val="21"/>
        </w:rPr>
      </w:pPr>
      <w:r>
        <w:rPr>
          <w:rFonts w:hint="eastAsia" w:ascii="宋体" w:hAnsi="宋体" w:cs="宋体"/>
          <w:szCs w:val="21"/>
        </w:rPr>
        <w:t>日      期：年月_日</w:t>
      </w:r>
    </w:p>
    <w:p>
      <w:pPr>
        <w:pStyle w:val="9"/>
        <w:adjustRightInd w:val="0"/>
        <w:snapToGrid w:val="0"/>
        <w:spacing w:before="0" w:after="0" w:line="360" w:lineRule="auto"/>
        <w:jc w:val="center"/>
        <w:rPr>
          <w:rFonts w:ascii="宋体" w:hAnsi="宋体" w:cs="宋体"/>
          <w:szCs w:val="21"/>
        </w:rPr>
        <w:sectPr>
          <w:pgSz w:w="11906" w:h="16838"/>
          <w:pgMar w:top="1474" w:right="1474" w:bottom="1474" w:left="1474" w:header="851" w:footer="992" w:gutter="0"/>
          <w:pgNumType w:fmt="numberInDash"/>
          <w:cols w:space="720" w:num="1"/>
          <w:docGrid w:type="lines" w:linePitch="312" w:charSpace="0"/>
        </w:sectPr>
      </w:pPr>
      <w:r>
        <w:rPr>
          <w:rFonts w:hint="eastAsia" w:ascii="宋体" w:hAnsi="宋体" w:cs="宋体"/>
          <w:szCs w:val="21"/>
        </w:rPr>
        <w:br w:type="page"/>
      </w:r>
    </w:p>
    <w:p>
      <w:pPr>
        <w:pStyle w:val="9"/>
        <w:adjustRightInd w:val="0"/>
        <w:snapToGrid w:val="0"/>
        <w:spacing w:before="0" w:after="0" w:line="360" w:lineRule="auto"/>
        <w:jc w:val="center"/>
        <w:rPr>
          <w:rFonts w:ascii="宋体" w:hAnsi="宋体" w:cs="宋体"/>
          <w:sz w:val="28"/>
          <w:szCs w:val="28"/>
        </w:rPr>
      </w:pPr>
      <w:bookmarkStart w:id="313" w:name="_Toc14007"/>
      <w:bookmarkStart w:id="314" w:name="_Toc11652"/>
      <w:r>
        <w:rPr>
          <w:rFonts w:hint="eastAsia" w:ascii="宋体" w:hAnsi="宋体" w:cs="宋体"/>
          <w:szCs w:val="21"/>
        </w:rPr>
        <w:t>十</w:t>
      </w:r>
      <w:r>
        <w:rPr>
          <w:rFonts w:hint="eastAsia" w:ascii="宋体" w:hAnsi="宋体" w:cs="宋体"/>
          <w:sz w:val="28"/>
          <w:szCs w:val="28"/>
        </w:rPr>
        <w:t>、享受政府采购政策优惠的证明资料</w:t>
      </w:r>
      <w:bookmarkEnd w:id="313"/>
      <w:bookmarkEnd w:id="314"/>
    </w:p>
    <w:p>
      <w:pPr>
        <w:adjustRightInd w:val="0"/>
        <w:snapToGrid w:val="0"/>
        <w:spacing w:line="360" w:lineRule="auto"/>
        <w:rPr>
          <w:rFonts w:ascii="宋体" w:hAnsi="宋体" w:cs="宋体"/>
          <w:bCs/>
          <w:spacing w:val="6"/>
          <w:kern w:val="0"/>
          <w:szCs w:val="21"/>
        </w:rPr>
      </w:pPr>
    </w:p>
    <w:p>
      <w:pPr>
        <w:adjustRightInd w:val="0"/>
        <w:snapToGrid w:val="0"/>
        <w:spacing w:line="360" w:lineRule="auto"/>
        <w:ind w:firstLine="444" w:firstLineChars="200"/>
        <w:rPr>
          <w:rFonts w:ascii="宋体" w:hAnsi="宋体" w:cs="宋体"/>
          <w:bCs/>
          <w:spacing w:val="6"/>
          <w:kern w:val="0"/>
          <w:szCs w:val="21"/>
        </w:rPr>
      </w:pPr>
      <w:r>
        <w:rPr>
          <w:rFonts w:hint="eastAsia" w:ascii="宋体" w:hAnsi="宋体" w:cs="宋体"/>
          <w:bCs/>
          <w:spacing w:val="6"/>
          <w:kern w:val="0"/>
          <w:szCs w:val="21"/>
        </w:rPr>
        <w:t>投标人符合第二章第34条要求的，应提供下列证明资料，并按本章第六节“分项报价明细表”要求填写相关数据。否则，评审时不予以考虑。</w:t>
      </w:r>
    </w:p>
    <w:p>
      <w:pPr>
        <w:adjustRightInd w:val="0"/>
        <w:snapToGrid w:val="0"/>
        <w:spacing w:line="360" w:lineRule="auto"/>
        <w:rPr>
          <w:rFonts w:ascii="宋体" w:hAnsi="宋体" w:cs="宋体"/>
          <w:bCs/>
          <w:spacing w:val="6"/>
          <w:kern w:val="0"/>
          <w:szCs w:val="21"/>
        </w:rPr>
      </w:pPr>
    </w:p>
    <w:p>
      <w:pPr>
        <w:pStyle w:val="10"/>
        <w:rPr>
          <w:rFonts w:ascii="宋体" w:hAnsi="宋体" w:eastAsia="宋体" w:cs="宋体"/>
          <w:b w:val="0"/>
          <w:bCs w:val="0"/>
          <w:spacing w:val="6"/>
          <w:kern w:val="0"/>
          <w:sz w:val="21"/>
          <w:szCs w:val="21"/>
        </w:rPr>
      </w:pPr>
      <w:bookmarkStart w:id="315" w:name="_Toc14487"/>
      <w:r>
        <w:rPr>
          <w:rFonts w:hint="eastAsia" w:ascii="宋体" w:hAnsi="宋体" w:eastAsia="宋体" w:cs="宋体"/>
          <w:b w:val="0"/>
          <w:bCs w:val="0"/>
          <w:spacing w:val="6"/>
          <w:kern w:val="0"/>
          <w:sz w:val="21"/>
          <w:szCs w:val="21"/>
        </w:rPr>
        <w:t>附件10-1小型、微型企业声明函</w:t>
      </w:r>
      <w:bookmarkEnd w:id="315"/>
    </w:p>
    <w:p>
      <w:pPr>
        <w:widowControl/>
        <w:adjustRightInd w:val="0"/>
        <w:snapToGrid w:val="0"/>
        <w:spacing w:line="360" w:lineRule="auto"/>
        <w:jc w:val="center"/>
        <w:rPr>
          <w:rFonts w:ascii="宋体" w:hAnsi="宋体" w:cs="宋体"/>
          <w:b/>
          <w:bCs/>
          <w:spacing w:val="6"/>
          <w:kern w:val="0"/>
          <w:sz w:val="28"/>
          <w:szCs w:val="28"/>
        </w:rPr>
      </w:pPr>
      <w:r>
        <w:rPr>
          <w:rFonts w:hint="eastAsia" w:ascii="宋体" w:hAnsi="宋体" w:cs="宋体"/>
          <w:b/>
          <w:bCs/>
          <w:spacing w:val="6"/>
          <w:kern w:val="0"/>
          <w:sz w:val="28"/>
          <w:szCs w:val="28"/>
        </w:rPr>
        <w:t>小型、微型企业声明函</w:t>
      </w:r>
    </w:p>
    <w:p>
      <w:pPr>
        <w:widowControl/>
        <w:adjustRightInd w:val="0"/>
        <w:snapToGrid w:val="0"/>
        <w:spacing w:line="360" w:lineRule="auto"/>
        <w:jc w:val="center"/>
        <w:rPr>
          <w:rFonts w:ascii="宋体" w:hAnsi="宋体" w:cs="宋体"/>
          <w:b/>
          <w:spacing w:val="6"/>
          <w:kern w:val="0"/>
          <w:szCs w:val="21"/>
        </w:rPr>
      </w:pPr>
      <w:r>
        <w:rPr>
          <w:rFonts w:hint="eastAsia" w:ascii="宋体" w:hAnsi="宋体" w:cs="宋体"/>
          <w:b/>
          <w:spacing w:val="6"/>
          <w:kern w:val="0"/>
          <w:szCs w:val="21"/>
        </w:rPr>
        <w:t>(不满足以下条件的无需填写)</w:t>
      </w:r>
    </w:p>
    <w:p>
      <w:pPr>
        <w:widowControl/>
        <w:adjustRightInd w:val="0"/>
        <w:snapToGrid w:val="0"/>
        <w:spacing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本公司郑重声明，根据《政府采购促进中小企业发展暂行办法》（财库[2011]181号）的规定，本公司为（请填写：小型、微型）企业。即，本公司同时满足以下条件：</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1.根据《工业和信息化部、国家统计局、国家发展和改革委员会、财政部关于印发中小企业划型标准规定的通知》（工信部联企业[2011]300号）规定的划分标准，本公司为 （请填写：小型、微型）企业。</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2.本公司参加单位的         项目采购活动提供本企业制造的货物，由本企业承担工程、提供服务，或者提供其他     （请填写：小型、微型）企业制造的货物。本条所称货物不包括使用大型企业注册商标的货物。</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本公司对上述声明的真实性负责。如有虚假，将依法承担相应责任。</w:t>
      </w:r>
    </w:p>
    <w:p>
      <w:pPr>
        <w:widowControl/>
        <w:adjustRightInd w:val="0"/>
        <w:snapToGrid w:val="0"/>
        <w:spacing w:line="360" w:lineRule="auto"/>
        <w:ind w:firstLine="420" w:firstLineChars="200"/>
        <w:jc w:val="center"/>
        <w:rPr>
          <w:rFonts w:ascii="宋体" w:hAnsi="宋体" w:cs="宋体"/>
          <w:kern w:val="0"/>
          <w:szCs w:val="21"/>
        </w:rPr>
      </w:pPr>
    </w:p>
    <w:p>
      <w:pPr>
        <w:widowControl/>
        <w:adjustRightInd w:val="0"/>
        <w:snapToGrid w:val="0"/>
        <w:spacing w:line="360" w:lineRule="auto"/>
        <w:ind w:firstLine="444" w:firstLineChars="200"/>
        <w:jc w:val="center"/>
        <w:rPr>
          <w:rFonts w:ascii="宋体" w:hAnsi="宋体" w:cs="宋体"/>
          <w:spacing w:val="6"/>
          <w:kern w:val="0"/>
          <w:szCs w:val="21"/>
          <w:u w:val="single"/>
        </w:rPr>
      </w:pPr>
      <w:r>
        <w:rPr>
          <w:rFonts w:hint="eastAsia" w:ascii="宋体" w:hAnsi="宋体" w:cs="宋体"/>
          <w:spacing w:val="6"/>
          <w:kern w:val="0"/>
          <w:szCs w:val="21"/>
        </w:rPr>
        <w:t xml:space="preserve">             投标人名称（盖单位章）：</w:t>
      </w:r>
    </w:p>
    <w:p>
      <w:pPr>
        <w:widowControl/>
        <w:adjustRightInd w:val="0"/>
        <w:snapToGrid w:val="0"/>
        <w:spacing w:line="360" w:lineRule="auto"/>
        <w:ind w:firstLine="444" w:firstLineChars="200"/>
        <w:jc w:val="center"/>
        <w:rPr>
          <w:rFonts w:ascii="宋体" w:hAnsi="宋体" w:cs="宋体"/>
          <w:spacing w:val="6"/>
          <w:kern w:val="0"/>
          <w:szCs w:val="21"/>
          <w:u w:val="single"/>
        </w:rPr>
      </w:pPr>
      <w:r>
        <w:rPr>
          <w:rFonts w:hint="eastAsia" w:ascii="宋体" w:hAnsi="宋体" w:cs="宋体"/>
          <w:spacing w:val="6"/>
          <w:kern w:val="0"/>
          <w:szCs w:val="21"/>
        </w:rPr>
        <w:t xml:space="preserve">                   日 期：</w:t>
      </w:r>
    </w:p>
    <w:p>
      <w:pPr>
        <w:widowControl/>
        <w:adjustRightInd w:val="0"/>
        <w:snapToGrid w:val="0"/>
        <w:spacing w:line="360" w:lineRule="auto"/>
        <w:rPr>
          <w:rFonts w:ascii="宋体" w:hAnsi="宋体" w:cs="宋体"/>
          <w:spacing w:val="6"/>
          <w:kern w:val="0"/>
          <w:szCs w:val="21"/>
        </w:rPr>
      </w:pPr>
      <w:r>
        <w:rPr>
          <w:rFonts w:hint="eastAsia" w:ascii="宋体" w:hAnsi="宋体" w:cs="宋体"/>
          <w:spacing w:val="6"/>
          <w:kern w:val="0"/>
          <w:szCs w:val="21"/>
        </w:rPr>
        <w:br w:type="page"/>
      </w:r>
    </w:p>
    <w:p>
      <w:pPr>
        <w:pStyle w:val="10"/>
        <w:rPr>
          <w:rFonts w:ascii="宋体" w:hAnsi="宋体" w:eastAsia="宋体" w:cs="宋体"/>
          <w:b w:val="0"/>
          <w:spacing w:val="6"/>
          <w:sz w:val="21"/>
          <w:szCs w:val="21"/>
        </w:rPr>
      </w:pPr>
      <w:bookmarkStart w:id="316" w:name="_Toc14745"/>
      <w:r>
        <w:rPr>
          <w:rFonts w:hint="eastAsia" w:ascii="宋体" w:hAnsi="宋体" w:eastAsia="宋体" w:cs="宋体"/>
          <w:b w:val="0"/>
          <w:bCs w:val="0"/>
          <w:spacing w:val="6"/>
          <w:kern w:val="0"/>
          <w:sz w:val="21"/>
          <w:szCs w:val="21"/>
        </w:rPr>
        <w:t xml:space="preserve">附件10-2 </w:t>
      </w:r>
      <w:r>
        <w:rPr>
          <w:rFonts w:hint="eastAsia" w:ascii="宋体" w:hAnsi="宋体" w:eastAsia="宋体" w:cs="宋体"/>
          <w:b w:val="0"/>
          <w:spacing w:val="6"/>
          <w:sz w:val="21"/>
          <w:szCs w:val="21"/>
        </w:rPr>
        <w:t>残疾人福利性单位声明函</w:t>
      </w:r>
      <w:bookmarkEnd w:id="316"/>
    </w:p>
    <w:p>
      <w:pPr>
        <w:adjustRightInd w:val="0"/>
        <w:snapToGrid w:val="0"/>
        <w:spacing w:line="360" w:lineRule="auto"/>
        <w:jc w:val="center"/>
        <w:rPr>
          <w:rFonts w:ascii="宋体" w:hAnsi="宋体" w:cs="宋体"/>
          <w:b/>
          <w:spacing w:val="6"/>
          <w:sz w:val="28"/>
          <w:szCs w:val="28"/>
        </w:rPr>
      </w:pPr>
      <w:r>
        <w:rPr>
          <w:rFonts w:hint="eastAsia" w:ascii="宋体" w:hAnsi="宋体" w:cs="宋体"/>
          <w:b/>
          <w:spacing w:val="6"/>
          <w:sz w:val="28"/>
          <w:szCs w:val="28"/>
        </w:rPr>
        <w:t>残疾人福利性单位声明函</w:t>
      </w:r>
    </w:p>
    <w:p>
      <w:pPr>
        <w:adjustRightInd w:val="0"/>
        <w:snapToGrid w:val="0"/>
        <w:spacing w:line="360" w:lineRule="auto"/>
        <w:jc w:val="center"/>
        <w:rPr>
          <w:rFonts w:ascii="宋体" w:hAnsi="宋体" w:cs="宋体"/>
          <w:b/>
          <w:spacing w:val="6"/>
          <w:szCs w:val="21"/>
        </w:rPr>
      </w:pPr>
      <w:r>
        <w:rPr>
          <w:rFonts w:hint="eastAsia" w:ascii="宋体" w:hAnsi="宋体" w:cs="宋体"/>
          <w:b/>
          <w:spacing w:val="6"/>
          <w:szCs w:val="21"/>
        </w:rPr>
        <w:t>(不属于残疾人福利性单位的无需填写)</w:t>
      </w:r>
    </w:p>
    <w:p>
      <w:pPr>
        <w:adjustRightInd w:val="0"/>
        <w:snapToGrid w:val="0"/>
        <w:spacing w:line="360" w:lineRule="auto"/>
        <w:ind w:firstLine="444" w:firstLineChars="200"/>
        <w:rPr>
          <w:rFonts w:ascii="宋体" w:hAnsi="宋体" w:cs="宋体"/>
          <w:spacing w:val="6"/>
          <w:szCs w:val="21"/>
        </w:rPr>
      </w:pPr>
    </w:p>
    <w:p>
      <w:pPr>
        <w:adjustRightInd w:val="0"/>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cs="宋体"/>
          <w:spacing w:val="6"/>
          <w:szCs w:val="21"/>
        </w:rPr>
      </w:pPr>
    </w:p>
    <w:p>
      <w:pPr>
        <w:adjustRightInd w:val="0"/>
        <w:snapToGrid w:val="0"/>
        <w:spacing w:line="360" w:lineRule="auto"/>
        <w:ind w:firstLine="444" w:firstLineChars="200"/>
        <w:rPr>
          <w:rFonts w:ascii="宋体" w:hAnsi="宋体" w:cs="宋体"/>
          <w:spacing w:val="6"/>
          <w:szCs w:val="21"/>
        </w:rPr>
      </w:pPr>
    </w:p>
    <w:p>
      <w:pPr>
        <w:tabs>
          <w:tab w:val="left" w:pos="4860"/>
        </w:tabs>
        <w:adjustRightInd w:val="0"/>
        <w:snapToGrid w:val="0"/>
        <w:spacing w:line="360" w:lineRule="auto"/>
        <w:ind w:right="1560" w:firstLine="444" w:firstLineChars="200"/>
        <w:jc w:val="center"/>
        <w:rPr>
          <w:rFonts w:ascii="宋体" w:hAnsi="宋体" w:cs="宋体"/>
          <w:spacing w:val="6"/>
          <w:szCs w:val="21"/>
        </w:rPr>
      </w:pPr>
      <w:r>
        <w:rPr>
          <w:rFonts w:hint="eastAsia" w:ascii="宋体" w:hAnsi="宋体" w:cs="宋体"/>
          <w:spacing w:val="6"/>
          <w:szCs w:val="21"/>
        </w:rPr>
        <w:t xml:space="preserve">               单位名称（盖章）：</w:t>
      </w:r>
    </w:p>
    <w:p>
      <w:pPr>
        <w:tabs>
          <w:tab w:val="left" w:pos="4860"/>
        </w:tabs>
        <w:adjustRightInd w:val="0"/>
        <w:snapToGrid w:val="0"/>
        <w:spacing w:line="360" w:lineRule="auto"/>
        <w:ind w:right="1560" w:firstLine="444" w:firstLineChars="200"/>
        <w:jc w:val="center"/>
        <w:rPr>
          <w:rFonts w:ascii="宋体" w:hAnsi="宋体" w:cs="宋体"/>
          <w:spacing w:val="6"/>
          <w:szCs w:val="21"/>
        </w:rPr>
      </w:pPr>
      <w:r>
        <w:rPr>
          <w:rFonts w:hint="eastAsia" w:ascii="宋体" w:hAnsi="宋体" w:cs="宋体"/>
          <w:spacing w:val="6"/>
          <w:szCs w:val="21"/>
        </w:rPr>
        <w:t xml:space="preserve">       日  期：</w:t>
      </w:r>
    </w:p>
    <w:p>
      <w:pPr>
        <w:widowControl/>
        <w:adjustRightInd w:val="0"/>
        <w:snapToGrid w:val="0"/>
        <w:spacing w:line="360" w:lineRule="auto"/>
        <w:jc w:val="left"/>
        <w:rPr>
          <w:rFonts w:ascii="宋体" w:hAnsi="宋体" w:cs="宋体"/>
          <w:kern w:val="0"/>
          <w:szCs w:val="21"/>
        </w:rPr>
      </w:pPr>
    </w:p>
    <w:p>
      <w:pPr>
        <w:widowControl/>
        <w:adjustRightInd w:val="0"/>
        <w:snapToGrid w:val="0"/>
        <w:spacing w:line="360" w:lineRule="auto"/>
        <w:rPr>
          <w:rFonts w:ascii="宋体" w:hAnsi="宋体" w:cs="宋体"/>
          <w:kern w:val="0"/>
          <w:szCs w:val="21"/>
        </w:rPr>
      </w:pPr>
    </w:p>
    <w:p>
      <w:pPr>
        <w:widowControl/>
        <w:adjustRightInd w:val="0"/>
        <w:snapToGrid w:val="0"/>
        <w:spacing w:line="360" w:lineRule="auto"/>
        <w:rPr>
          <w:rFonts w:ascii="宋体" w:hAnsi="宋体" w:cs="宋体"/>
          <w:kern w:val="0"/>
          <w:szCs w:val="21"/>
        </w:rPr>
      </w:pPr>
    </w:p>
    <w:p>
      <w:pPr>
        <w:pStyle w:val="10"/>
        <w:rPr>
          <w:rFonts w:ascii="宋体" w:hAnsi="宋体" w:eastAsia="宋体" w:cs="宋体"/>
          <w:b w:val="0"/>
          <w:sz w:val="21"/>
          <w:szCs w:val="21"/>
        </w:rPr>
      </w:pPr>
      <w:bookmarkStart w:id="317" w:name="_Toc6935"/>
      <w:r>
        <w:rPr>
          <w:rFonts w:hint="eastAsia" w:ascii="宋体" w:hAnsi="宋体" w:eastAsia="宋体" w:cs="宋体"/>
          <w:b w:val="0"/>
          <w:kern w:val="0"/>
          <w:sz w:val="21"/>
          <w:szCs w:val="21"/>
        </w:rPr>
        <w:t xml:space="preserve">附件10-3 </w:t>
      </w:r>
      <w:r>
        <w:rPr>
          <w:rFonts w:hint="eastAsia" w:ascii="宋体" w:hAnsi="宋体" w:eastAsia="宋体" w:cs="宋体"/>
          <w:b w:val="0"/>
          <w:sz w:val="21"/>
          <w:szCs w:val="21"/>
        </w:rPr>
        <w:t>监狱企业证明资料</w:t>
      </w:r>
      <w:bookmarkEnd w:id="317"/>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监狱企业证明资料</w:t>
      </w:r>
    </w:p>
    <w:p>
      <w:pPr>
        <w:adjustRightInd w:val="0"/>
        <w:snapToGrid w:val="0"/>
        <w:spacing w:line="360" w:lineRule="auto"/>
        <w:jc w:val="center"/>
        <w:rPr>
          <w:rFonts w:ascii="宋体" w:hAnsi="宋体" w:cs="宋体"/>
          <w:b/>
          <w:spacing w:val="6"/>
          <w:szCs w:val="21"/>
        </w:rPr>
      </w:pPr>
      <w:r>
        <w:rPr>
          <w:rFonts w:hint="eastAsia" w:ascii="宋体" w:hAnsi="宋体" w:cs="宋体"/>
          <w:b/>
          <w:spacing w:val="6"/>
          <w:szCs w:val="21"/>
        </w:rPr>
        <w:t>(不属于监狱企业的无需提供)</w:t>
      </w:r>
    </w:p>
    <w:p>
      <w:pPr>
        <w:adjustRightInd w:val="0"/>
        <w:snapToGrid w:val="0"/>
        <w:spacing w:line="360" w:lineRule="auto"/>
        <w:rPr>
          <w:rFonts w:ascii="宋体" w:hAnsi="宋体" w:cs="宋体"/>
          <w:szCs w:val="21"/>
        </w:rPr>
      </w:pPr>
    </w:p>
    <w:p>
      <w:pPr>
        <w:adjustRightInd w:val="0"/>
        <w:snapToGrid w:val="0"/>
        <w:spacing w:line="360" w:lineRule="auto"/>
        <w:ind w:firstLine="444" w:firstLineChars="200"/>
        <w:rPr>
          <w:rFonts w:ascii="宋体" w:hAnsi="宋体" w:cs="宋体"/>
          <w:szCs w:val="21"/>
        </w:rPr>
      </w:pPr>
      <w:r>
        <w:rPr>
          <w:rFonts w:hint="eastAsia" w:ascii="宋体" w:hAnsi="宋体" w:cs="宋体"/>
          <w:bCs/>
          <w:spacing w:val="6"/>
          <w:kern w:val="0"/>
          <w:szCs w:val="21"/>
        </w:rPr>
        <w:t>备注：</w:t>
      </w:r>
      <w:r>
        <w:rPr>
          <w:rFonts w:hint="eastAsia" w:ascii="宋体" w:hAnsi="宋体" w:cs="宋体"/>
          <w:szCs w:val="21"/>
        </w:rPr>
        <w:t>按</w:t>
      </w:r>
      <w:r>
        <w:rPr>
          <w:rFonts w:hint="eastAsia" w:ascii="宋体" w:hAnsi="宋体" w:cs="宋体"/>
          <w:spacing w:val="6"/>
          <w:szCs w:val="21"/>
        </w:rPr>
        <w:t>《</w:t>
      </w:r>
      <w:r>
        <w:rPr>
          <w:rFonts w:hint="eastAsia" w:ascii="宋体" w:hAnsi="宋体" w:cs="宋体"/>
          <w:szCs w:val="21"/>
        </w:rPr>
        <w:t>财政部 司法部关于政府采购支持监狱企业发展有关问题的通知</w:t>
      </w:r>
      <w:r>
        <w:rPr>
          <w:rFonts w:hint="eastAsia" w:ascii="宋体" w:hAnsi="宋体" w:cs="宋体"/>
          <w:spacing w:val="6"/>
          <w:szCs w:val="21"/>
        </w:rPr>
        <w:t>》</w:t>
      </w:r>
      <w:r>
        <w:rPr>
          <w:rFonts w:hint="eastAsia" w:ascii="宋体" w:hAnsi="宋体" w:cs="宋体"/>
          <w:szCs w:val="21"/>
        </w:rPr>
        <w:t>(财库〔2014〕68号)文件规定提供证明文件（复印件）。</w:t>
      </w:r>
    </w:p>
    <w:p>
      <w:pPr>
        <w:adjustRightInd w:val="0"/>
        <w:snapToGrid w:val="0"/>
        <w:spacing w:line="360" w:lineRule="auto"/>
        <w:rPr>
          <w:rFonts w:ascii="宋体" w:hAnsi="宋体" w:cs="宋体"/>
          <w:bCs/>
          <w:spacing w:val="6"/>
          <w:kern w:val="0"/>
          <w:szCs w:val="21"/>
        </w:rPr>
      </w:pPr>
      <w:r>
        <w:rPr>
          <w:rFonts w:hint="eastAsia" w:ascii="宋体" w:hAnsi="宋体" w:cs="宋体"/>
          <w:bCs/>
          <w:spacing w:val="6"/>
          <w:kern w:val="0"/>
          <w:szCs w:val="21"/>
        </w:rPr>
        <w:br w:type="page"/>
      </w:r>
    </w:p>
    <w:p>
      <w:pPr>
        <w:pStyle w:val="10"/>
        <w:rPr>
          <w:rFonts w:ascii="宋体" w:hAnsi="宋体" w:eastAsia="宋体" w:cs="宋体"/>
          <w:b w:val="0"/>
          <w:sz w:val="21"/>
          <w:szCs w:val="21"/>
        </w:rPr>
      </w:pPr>
      <w:bookmarkStart w:id="318" w:name="_Toc10110"/>
      <w:r>
        <w:rPr>
          <w:rFonts w:hint="eastAsia" w:ascii="宋体" w:hAnsi="宋体" w:eastAsia="宋体" w:cs="宋体"/>
          <w:b w:val="0"/>
          <w:bCs w:val="0"/>
          <w:spacing w:val="6"/>
          <w:kern w:val="0"/>
          <w:sz w:val="21"/>
          <w:szCs w:val="21"/>
        </w:rPr>
        <w:t xml:space="preserve">附件10-4 </w:t>
      </w:r>
      <w:r>
        <w:rPr>
          <w:rFonts w:hint="eastAsia" w:ascii="宋体" w:hAnsi="宋体" w:eastAsia="宋体" w:cs="宋体"/>
          <w:b w:val="0"/>
          <w:sz w:val="21"/>
          <w:szCs w:val="21"/>
        </w:rPr>
        <w:t>强制采购或者优先采购产品</w:t>
      </w:r>
      <w:r>
        <w:rPr>
          <w:rFonts w:hint="eastAsia" w:ascii="宋体" w:hAnsi="宋体" w:eastAsia="宋体" w:cs="宋体"/>
          <w:b w:val="0"/>
          <w:bCs w:val="0"/>
          <w:sz w:val="21"/>
          <w:szCs w:val="21"/>
        </w:rPr>
        <w:t>的</w:t>
      </w:r>
      <w:r>
        <w:rPr>
          <w:rFonts w:hint="eastAsia" w:ascii="宋体" w:hAnsi="宋体" w:eastAsia="宋体" w:cs="宋体"/>
          <w:b w:val="0"/>
          <w:sz w:val="21"/>
          <w:szCs w:val="21"/>
        </w:rPr>
        <w:t>证明材料</w:t>
      </w:r>
      <w:bookmarkEnd w:id="318"/>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强制采购或者优先采购产品</w:t>
      </w:r>
      <w:r>
        <w:rPr>
          <w:rFonts w:hint="eastAsia" w:ascii="宋体" w:hAnsi="宋体" w:cs="宋体"/>
          <w:b/>
          <w:bCs/>
          <w:sz w:val="28"/>
          <w:szCs w:val="28"/>
        </w:rPr>
        <w:t>的</w:t>
      </w:r>
      <w:r>
        <w:rPr>
          <w:rFonts w:hint="eastAsia" w:ascii="宋体" w:hAnsi="宋体" w:cs="宋体"/>
          <w:b/>
          <w:sz w:val="28"/>
          <w:szCs w:val="28"/>
        </w:rPr>
        <w:t>证明材料</w:t>
      </w:r>
    </w:p>
    <w:p>
      <w:pPr>
        <w:adjustRightInd w:val="0"/>
        <w:snapToGrid w:val="0"/>
        <w:spacing w:line="360" w:lineRule="auto"/>
        <w:jc w:val="center"/>
        <w:rPr>
          <w:rFonts w:ascii="宋体" w:hAnsi="宋体" w:cs="宋体"/>
          <w:b/>
          <w:spacing w:val="6"/>
          <w:szCs w:val="21"/>
        </w:rPr>
      </w:pPr>
      <w:r>
        <w:rPr>
          <w:rFonts w:hint="eastAsia" w:ascii="宋体" w:hAnsi="宋体" w:cs="宋体"/>
          <w:b/>
          <w:spacing w:val="6"/>
          <w:szCs w:val="21"/>
        </w:rPr>
        <w:t>(不属于强制采购或者优先采购产品的无需提供)</w:t>
      </w:r>
    </w:p>
    <w:p>
      <w:pPr>
        <w:adjustRightInd w:val="0"/>
        <w:snapToGrid w:val="0"/>
        <w:spacing w:line="360" w:lineRule="auto"/>
        <w:ind w:firstLine="420" w:firstLineChars="200"/>
        <w:jc w:val="left"/>
        <w:rPr>
          <w:rFonts w:ascii="宋体" w:hAnsi="宋体" w:cs="宋体"/>
          <w:szCs w:val="21"/>
        </w:rPr>
      </w:pP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说明：投标人提供的产品</w:t>
      </w:r>
      <w:r>
        <w:rPr>
          <w:rFonts w:hint="eastAsia" w:ascii="宋体" w:hAnsi="宋体" w:cs="宋体"/>
          <w:bCs/>
          <w:szCs w:val="21"/>
        </w:rPr>
        <w:t>属于强制采购或者优先采购的</w:t>
      </w:r>
      <w:r>
        <w:rPr>
          <w:rFonts w:hint="eastAsia" w:ascii="宋体" w:hAnsi="宋体" w:cs="宋体"/>
          <w:szCs w:val="21"/>
        </w:rPr>
        <w:t>，应按第二章第34.6款规定提供证明材料，并加盖投标人单位章。</w:t>
      </w:r>
    </w:p>
    <w:p>
      <w:pPr>
        <w:adjustRightInd w:val="0"/>
        <w:snapToGrid w:val="0"/>
        <w:spacing w:line="360" w:lineRule="auto"/>
        <w:ind w:firstLine="420" w:firstLineChars="200"/>
        <w:jc w:val="left"/>
        <w:rPr>
          <w:rFonts w:ascii="宋体" w:hAnsi="宋体" w:cs="宋体"/>
          <w:szCs w:val="21"/>
        </w:rPr>
      </w:pPr>
    </w:p>
    <w:p>
      <w:pPr>
        <w:adjustRightInd w:val="0"/>
        <w:snapToGrid w:val="0"/>
        <w:spacing w:line="360" w:lineRule="auto"/>
        <w:rPr>
          <w:rFonts w:ascii="宋体" w:hAnsi="宋体" w:cs="宋体"/>
          <w:color w:val="000000"/>
          <w:szCs w:val="21"/>
        </w:rPr>
      </w:pPr>
      <w:r>
        <w:rPr>
          <w:rFonts w:hint="eastAsia" w:ascii="宋体" w:hAnsi="宋体" w:cs="宋体"/>
          <w:b/>
          <w:sz w:val="28"/>
          <w:szCs w:val="28"/>
        </w:rPr>
        <w:br w:type="page"/>
      </w:r>
    </w:p>
    <w:p>
      <w:pPr>
        <w:pStyle w:val="9"/>
        <w:adjustRightInd w:val="0"/>
        <w:snapToGrid w:val="0"/>
        <w:spacing w:before="0" w:after="0" w:line="360" w:lineRule="auto"/>
        <w:jc w:val="center"/>
        <w:rPr>
          <w:rFonts w:ascii="宋体" w:hAnsi="宋体" w:cs="宋体"/>
          <w:sz w:val="28"/>
          <w:szCs w:val="28"/>
        </w:rPr>
      </w:pPr>
      <w:bookmarkStart w:id="319" w:name="_Toc9908"/>
      <w:bookmarkStart w:id="320" w:name="_Toc5204"/>
      <w:r>
        <w:rPr>
          <w:rFonts w:hint="eastAsia" w:ascii="宋体" w:hAnsi="宋体" w:cs="宋体"/>
          <w:sz w:val="28"/>
          <w:szCs w:val="28"/>
        </w:rPr>
        <w:t>十一、投标货物符合</w:t>
      </w:r>
      <w:r>
        <w:rPr>
          <w:rFonts w:hint="eastAsia" w:ascii="宋体" w:hAnsi="宋体" w:cs="宋体"/>
          <w:sz w:val="28"/>
          <w:szCs w:val="28"/>
          <w:lang w:eastAsia="zh-CN"/>
        </w:rPr>
        <w:t>采购</w:t>
      </w:r>
      <w:r>
        <w:rPr>
          <w:rFonts w:hint="eastAsia" w:ascii="宋体" w:hAnsi="宋体" w:cs="宋体"/>
          <w:sz w:val="28"/>
          <w:szCs w:val="28"/>
        </w:rPr>
        <w:t>文件规定的证明文件</w:t>
      </w:r>
      <w:bookmarkEnd w:id="319"/>
      <w:bookmarkEnd w:id="320"/>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rPr>
      </w:pPr>
      <w:r>
        <w:rPr>
          <w:rFonts w:hint="eastAsia" w:ascii="宋体" w:hAnsi="宋体" w:cs="宋体"/>
          <w:szCs w:val="21"/>
        </w:rPr>
        <w:t>备注：提供第五章规定的证明材料复印件。</w:t>
      </w:r>
    </w:p>
    <w:p>
      <w:pPr>
        <w:widowControl/>
        <w:jc w:val="left"/>
        <w:rPr>
          <w:rFonts w:ascii="宋体" w:hAnsi="宋体" w:cs="宋体"/>
          <w:sz w:val="28"/>
          <w:szCs w:val="28"/>
        </w:rPr>
      </w:pPr>
      <w:r>
        <w:rPr>
          <w:rFonts w:hint="eastAsia" w:ascii="宋体" w:hAnsi="宋体" w:cs="宋体"/>
          <w:b/>
          <w:bCs/>
          <w:sz w:val="28"/>
          <w:szCs w:val="28"/>
        </w:rPr>
        <w:br w:type="page"/>
      </w:r>
    </w:p>
    <w:p>
      <w:pPr>
        <w:pStyle w:val="9"/>
        <w:adjustRightInd w:val="0"/>
        <w:snapToGrid w:val="0"/>
        <w:spacing w:before="0" w:after="0" w:line="360" w:lineRule="auto"/>
        <w:jc w:val="center"/>
        <w:rPr>
          <w:rFonts w:ascii="宋体" w:hAnsi="宋体" w:cs="宋体"/>
          <w:sz w:val="28"/>
          <w:szCs w:val="28"/>
        </w:rPr>
      </w:pPr>
      <w:bookmarkStart w:id="321" w:name="_Toc27039"/>
      <w:bookmarkStart w:id="322" w:name="_Toc4109"/>
      <w:r>
        <w:rPr>
          <w:rFonts w:hint="eastAsia" w:ascii="宋体" w:hAnsi="宋体" w:cs="宋体"/>
          <w:sz w:val="28"/>
          <w:szCs w:val="28"/>
        </w:rPr>
        <w:t>十二、投标人认为需提供的其他资料</w:t>
      </w:r>
      <w:bookmarkEnd w:id="321"/>
      <w:bookmarkEnd w:id="322"/>
    </w:p>
    <w:p>
      <w:pPr>
        <w:adjustRightInd w:val="0"/>
        <w:snapToGrid w:val="0"/>
        <w:spacing w:before="156" w:beforeLines="50" w:line="360" w:lineRule="auto"/>
        <w:rPr>
          <w:rFonts w:ascii="宋体" w:hAnsi="宋体" w:cs="宋体"/>
        </w:rPr>
      </w:pPr>
    </w:p>
    <w:p>
      <w:pPr>
        <w:adjustRightInd w:val="0"/>
        <w:snapToGrid w:val="0"/>
        <w:spacing w:before="156" w:beforeLines="50" w:line="360" w:lineRule="auto"/>
        <w:rPr>
          <w:rFonts w:ascii="宋体" w:hAnsi="宋体" w:cs="宋体"/>
        </w:rPr>
      </w:pPr>
      <w:r>
        <w:rPr>
          <w:rFonts w:hint="eastAsia" w:ascii="宋体" w:hAnsi="宋体" w:cs="宋体"/>
        </w:rPr>
        <w:t>备注：投标人认为需提供的其他资料包括：</w:t>
      </w:r>
    </w:p>
    <w:p>
      <w:pPr>
        <w:adjustRightInd w:val="0"/>
        <w:snapToGrid w:val="0"/>
        <w:spacing w:before="156" w:beforeLines="50" w:line="360" w:lineRule="auto"/>
        <w:ind w:firstLine="420" w:firstLineChars="200"/>
        <w:rPr>
          <w:rFonts w:ascii="宋体" w:hAnsi="宋体" w:cs="宋体"/>
        </w:rPr>
      </w:pPr>
      <w:r>
        <w:rPr>
          <w:rFonts w:hint="eastAsia" w:ascii="宋体" w:hAnsi="宋体" w:cs="宋体"/>
        </w:rPr>
        <w:t>（1）</w:t>
      </w:r>
      <w:r>
        <w:rPr>
          <w:rFonts w:hint="eastAsia" w:ascii="宋体" w:hAnsi="宋体" w:cs="宋体"/>
          <w:lang w:eastAsia="zh-CN"/>
        </w:rPr>
        <w:t>采购</w:t>
      </w:r>
      <w:r>
        <w:rPr>
          <w:rFonts w:hint="eastAsia" w:ascii="宋体" w:hAnsi="宋体" w:cs="宋体"/>
        </w:rPr>
        <w:t>文件第五章采购需求要求的其他资料；</w:t>
      </w:r>
    </w:p>
    <w:p>
      <w:pPr>
        <w:adjustRightInd w:val="0"/>
        <w:snapToGrid w:val="0"/>
        <w:spacing w:before="156" w:beforeLines="50" w:line="360" w:lineRule="auto"/>
        <w:ind w:firstLine="420" w:firstLineChars="200"/>
        <w:rPr>
          <w:rFonts w:ascii="宋体" w:hAnsi="宋体" w:cs="宋体"/>
        </w:rPr>
      </w:pPr>
      <w:r>
        <w:rPr>
          <w:rFonts w:hint="eastAsia" w:ascii="宋体" w:hAnsi="宋体" w:cs="宋体"/>
        </w:rPr>
        <w:t>（2）</w:t>
      </w:r>
      <w:r>
        <w:rPr>
          <w:rFonts w:hint="eastAsia" w:ascii="宋体" w:hAnsi="宋体" w:cs="宋体"/>
          <w:lang w:eastAsia="zh-CN"/>
        </w:rPr>
        <w:t>采购</w:t>
      </w:r>
      <w:r>
        <w:rPr>
          <w:rFonts w:hint="eastAsia" w:ascii="宋体" w:hAnsi="宋体" w:cs="宋体"/>
        </w:rPr>
        <w:t>文件第四章评标方法及标准要求的其他相关资料。</w:t>
      </w:r>
    </w:p>
    <w:p>
      <w:pPr>
        <w:adjustRightInd w:val="0"/>
        <w:snapToGrid w:val="0"/>
        <w:spacing w:before="156" w:beforeLines="50" w:line="360" w:lineRule="auto"/>
        <w:rPr>
          <w:rFonts w:ascii="宋体" w:hAnsi="宋体" w:cs="宋体"/>
        </w:rPr>
      </w:pPr>
    </w:p>
    <w:p>
      <w:pPr>
        <w:rPr>
          <w:rFonts w:ascii="宋体" w:hAnsi="宋体" w:cs="宋体"/>
        </w:rPr>
      </w:pPr>
    </w:p>
    <w:p>
      <w:pPr>
        <w:widowControl/>
        <w:jc w:val="left"/>
        <w:rPr>
          <w:rFonts w:ascii="宋体" w:hAnsi="宋体" w:cs="宋体"/>
          <w:b/>
          <w:bCs/>
          <w:sz w:val="28"/>
          <w:szCs w:val="28"/>
        </w:rPr>
      </w:pPr>
      <w:r>
        <w:rPr>
          <w:rFonts w:hint="eastAsia" w:ascii="宋体" w:hAnsi="宋体" w:cs="宋体"/>
          <w:sz w:val="28"/>
          <w:szCs w:val="28"/>
        </w:rPr>
        <w:br w:type="page"/>
      </w:r>
    </w:p>
    <w:p>
      <w:pPr>
        <w:pStyle w:val="9"/>
        <w:adjustRightInd w:val="0"/>
        <w:snapToGrid w:val="0"/>
        <w:spacing w:before="0" w:after="0" w:line="360" w:lineRule="auto"/>
        <w:jc w:val="center"/>
        <w:rPr>
          <w:rFonts w:ascii="宋体" w:hAnsi="宋体" w:cs="宋体"/>
          <w:sz w:val="28"/>
          <w:szCs w:val="28"/>
        </w:rPr>
      </w:pPr>
      <w:bookmarkStart w:id="323" w:name="_Toc24713"/>
      <w:bookmarkStart w:id="324" w:name="_Toc15240"/>
      <w:r>
        <w:rPr>
          <w:rFonts w:hint="eastAsia" w:ascii="宋体" w:hAnsi="宋体" w:cs="宋体"/>
          <w:sz w:val="28"/>
          <w:szCs w:val="28"/>
        </w:rPr>
        <w:t>十三、</w:t>
      </w:r>
      <w:r>
        <w:rPr>
          <w:rFonts w:hint="eastAsia" w:ascii="宋体" w:hAnsi="宋体" w:cs="宋体"/>
          <w:sz w:val="28"/>
          <w:szCs w:val="28"/>
          <w:lang w:eastAsia="zh-CN"/>
        </w:rPr>
        <w:t>采购</w:t>
      </w:r>
      <w:r>
        <w:rPr>
          <w:rFonts w:hint="eastAsia" w:ascii="宋体" w:hAnsi="宋体" w:cs="宋体"/>
          <w:sz w:val="28"/>
          <w:szCs w:val="28"/>
        </w:rPr>
        <w:t>代理服务费承诺书</w:t>
      </w:r>
      <w:bookmarkEnd w:id="323"/>
      <w:bookmarkEnd w:id="324"/>
    </w:p>
    <w:p>
      <w:pPr>
        <w:adjustRightInd w:val="0"/>
        <w:snapToGrid w:val="0"/>
        <w:spacing w:line="360" w:lineRule="auto"/>
        <w:rPr>
          <w:rFonts w:ascii="宋体" w:hAnsi="宋体" w:cs="宋体"/>
          <w:szCs w:val="21"/>
        </w:rPr>
      </w:pPr>
    </w:p>
    <w:p>
      <w:pPr>
        <w:adjustRightInd w:val="0"/>
        <w:snapToGrid w:val="0"/>
        <w:spacing w:line="360" w:lineRule="auto"/>
        <w:rPr>
          <w:rFonts w:ascii="宋体" w:hAnsi="宋体"/>
          <w:szCs w:val="21"/>
          <w:u w:val="single"/>
        </w:rPr>
      </w:pPr>
      <w:r>
        <w:rPr>
          <w:rFonts w:hint="eastAsia" w:ascii="宋体" w:hAnsi="宋体" w:cs="仿宋_GB2312"/>
          <w:szCs w:val="21"/>
        </w:rPr>
        <w:t>致（采购代理机构）</w:t>
      </w:r>
      <w:r>
        <w:rPr>
          <w:rFonts w:hint="eastAsia" w:ascii="宋体" w:hAnsi="宋体" w:cs="仿宋_GB2312"/>
          <w:szCs w:val="21"/>
          <w:u w:val="single"/>
        </w:rPr>
        <w:t xml:space="preserve">                 </w:t>
      </w:r>
      <w:r>
        <w:rPr>
          <w:rFonts w:hint="eastAsia" w:ascii="宋体" w:hAnsi="宋体" w:cs="仿宋_GB2312"/>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cs="仿宋_GB2312"/>
          <w:szCs w:val="21"/>
        </w:rPr>
        <w:t>我们在贵公司组织的</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w:t>
      </w:r>
      <w:r>
        <w:rPr>
          <w:rFonts w:hint="eastAsia" w:ascii="宋体" w:hAnsi="宋体" w:cs="仿宋_GB2312"/>
          <w:szCs w:val="21"/>
        </w:rPr>
        <w:t>采购代理编号：</w:t>
      </w:r>
      <w:r>
        <w:rPr>
          <w:rFonts w:hint="eastAsia" w:ascii="宋体" w:hAnsi="宋体"/>
          <w:szCs w:val="21"/>
          <w:u w:val="single"/>
        </w:rPr>
        <w:t xml:space="preserve">         </w:t>
      </w:r>
      <w:r>
        <w:rPr>
          <w:rFonts w:hint="eastAsia" w:ascii="宋体" w:hAnsi="宋体"/>
          <w:szCs w:val="21"/>
        </w:rPr>
        <w:t>）</w:t>
      </w:r>
      <w:r>
        <w:rPr>
          <w:rFonts w:hint="eastAsia" w:ascii="宋体" w:hAnsi="宋体" w:cs="仿宋_GB2312"/>
          <w:szCs w:val="21"/>
        </w:rPr>
        <w:t>招标中若获中标，我们保证在收到中标通知书后5 个工作日内，按</w:t>
      </w:r>
      <w:r>
        <w:rPr>
          <w:rFonts w:hint="eastAsia" w:ascii="宋体" w:hAnsi="宋体" w:cs="仿宋_GB2312"/>
          <w:szCs w:val="21"/>
          <w:lang w:eastAsia="zh-CN"/>
        </w:rPr>
        <w:t>采购</w:t>
      </w:r>
      <w:r>
        <w:rPr>
          <w:rFonts w:hint="eastAsia" w:ascii="宋体" w:hAnsi="宋体" w:cs="仿宋_GB2312"/>
          <w:szCs w:val="21"/>
        </w:rPr>
        <w:t>文件的规定，以支票、汇票或现金，向贵公司一次性支付中标服务费用。否则，</w:t>
      </w:r>
      <w:r>
        <w:rPr>
          <w:rFonts w:hint="eastAsia" w:ascii="宋体" w:hAnsi="宋体"/>
          <w:szCs w:val="21"/>
        </w:rPr>
        <w:t>由此产生的一切法律后果和责任由我公司承担。我公司声明放弃对此提出任何异议和追索的权利。</w:t>
      </w:r>
    </w:p>
    <w:p>
      <w:pPr>
        <w:adjustRightInd w:val="0"/>
        <w:snapToGrid w:val="0"/>
        <w:spacing w:line="360" w:lineRule="auto"/>
        <w:ind w:firstLine="420" w:firstLineChars="200"/>
        <w:rPr>
          <w:rFonts w:ascii="宋体" w:hAnsi="宋体"/>
          <w:szCs w:val="21"/>
        </w:rPr>
      </w:pPr>
      <w:r>
        <w:rPr>
          <w:rFonts w:hint="eastAsia" w:ascii="宋体" w:hAnsi="宋体"/>
          <w:szCs w:val="21"/>
        </w:rPr>
        <w:t>特此承诺。</w:t>
      </w:r>
    </w:p>
    <w:p>
      <w:pPr>
        <w:adjustRightInd w:val="0"/>
        <w:snapToGrid w:val="0"/>
        <w:spacing w:line="360" w:lineRule="auto"/>
        <w:rPr>
          <w:rFonts w:asciiTheme="minorEastAsia" w:hAnsiTheme="minorEastAsia" w:eastAsiaTheme="minorEastAsia"/>
          <w:color w:val="000000"/>
          <w:szCs w:val="21"/>
        </w:rPr>
      </w:pPr>
    </w:p>
    <w:tbl>
      <w:tblPr>
        <w:tblStyle w:val="48"/>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7" w:type="dxa"/>
          </w:tcPr>
          <w:p>
            <w:pPr>
              <w:adjustRightInd w:val="0"/>
              <w:snapToGrid w:val="0"/>
              <w:spacing w:line="360" w:lineRule="auto"/>
              <w:jc w:val="center"/>
              <w:rPr>
                <w:rFonts w:ascii="黑体" w:hAnsi="黑体" w:eastAsia="黑体"/>
                <w:color w:val="000000"/>
                <w:kern w:val="0"/>
                <w:sz w:val="28"/>
                <w:szCs w:val="28"/>
                <w:u w:val="single"/>
              </w:rPr>
            </w:pPr>
            <w:r>
              <w:rPr>
                <w:rFonts w:ascii="黑体" w:hAnsi="黑体" w:eastAsia="黑体"/>
                <w:color w:val="000000"/>
                <w:kern w:val="0"/>
                <w:sz w:val="28"/>
                <w:szCs w:val="28"/>
                <w:u w:val="single"/>
              </w:rPr>
              <w:t>开具</w:t>
            </w:r>
            <w:r>
              <w:rPr>
                <w:rFonts w:hint="eastAsia" w:ascii="黑体" w:hAnsi="黑体" w:eastAsia="黑体"/>
                <w:color w:val="000000"/>
                <w:kern w:val="0"/>
                <w:sz w:val="28"/>
                <w:szCs w:val="28"/>
                <w:u w:val="single"/>
              </w:rPr>
              <w:t>发票信息</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增值税普通发票</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或按照以下信息开具增值税专用发票：</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单位名称：</w:t>
            </w:r>
            <w:r>
              <w:rPr>
                <w:rFonts w:hint="eastAsia" w:ascii="宋体" w:hAnsi="宋体"/>
                <w:kern w:val="0"/>
                <w:sz w:val="20"/>
                <w:szCs w:val="21"/>
                <w:u w:val="single"/>
              </w:rPr>
              <w:t xml:space="preserve">                   </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纳税人识别号：</w:t>
            </w:r>
            <w:r>
              <w:rPr>
                <w:rFonts w:hint="eastAsia" w:ascii="宋体" w:hAnsi="宋体"/>
                <w:kern w:val="0"/>
                <w:sz w:val="20"/>
                <w:szCs w:val="21"/>
                <w:u w:val="single"/>
              </w:rPr>
              <w:t xml:space="preserve">                   </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地址：</w:t>
            </w:r>
            <w:r>
              <w:rPr>
                <w:rFonts w:hint="eastAsia" w:ascii="宋体" w:hAnsi="宋体"/>
                <w:kern w:val="0"/>
                <w:sz w:val="20"/>
                <w:szCs w:val="21"/>
                <w:u w:val="single"/>
              </w:rPr>
              <w:t xml:space="preserve">                   </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电话：</w:t>
            </w:r>
            <w:r>
              <w:rPr>
                <w:rFonts w:hint="eastAsia" w:ascii="宋体" w:hAnsi="宋体"/>
                <w:kern w:val="0"/>
                <w:sz w:val="20"/>
                <w:szCs w:val="21"/>
                <w:u w:val="single"/>
              </w:rPr>
              <w:t xml:space="preserve">                   </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开户行：</w:t>
            </w:r>
            <w:r>
              <w:rPr>
                <w:rFonts w:hint="eastAsia" w:ascii="宋体" w:hAnsi="宋体"/>
                <w:kern w:val="0"/>
                <w:sz w:val="20"/>
                <w:szCs w:val="21"/>
                <w:u w:val="single"/>
              </w:rPr>
              <w:t xml:space="preserve">                   </w:t>
            </w:r>
          </w:p>
          <w:p>
            <w:pPr>
              <w:adjustRightInd w:val="0"/>
              <w:snapToGrid w:val="0"/>
              <w:spacing w:line="360" w:lineRule="auto"/>
              <w:ind w:firstLine="420" w:firstLineChars="20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Cs w:val="21"/>
              </w:rPr>
              <w:t>账号：</w:t>
            </w:r>
            <w:r>
              <w:rPr>
                <w:rFonts w:hint="eastAsia" w:ascii="宋体" w:hAnsi="宋体"/>
                <w:kern w:val="0"/>
                <w:sz w:val="20"/>
                <w:szCs w:val="21"/>
                <w:u w:val="single"/>
              </w:rPr>
              <w:t xml:space="preserve">                   </w:t>
            </w:r>
          </w:p>
        </w:tc>
      </w:tr>
    </w:tbl>
    <w:p>
      <w:pPr>
        <w:adjustRightInd w:val="0"/>
        <w:snapToGrid w:val="0"/>
        <w:spacing w:line="360" w:lineRule="auto"/>
        <w:ind w:firstLine="420" w:firstLineChars="200"/>
        <w:rPr>
          <w:rFonts w:asciiTheme="minorEastAsia" w:hAnsiTheme="minorEastAsia" w:eastAsiaTheme="minorEastAsia"/>
          <w:szCs w:val="21"/>
        </w:rPr>
      </w:pPr>
    </w:p>
    <w:p>
      <w:pPr>
        <w:adjustRightInd w:val="0"/>
        <w:snapToGrid w:val="0"/>
        <w:spacing w:line="360" w:lineRule="auto"/>
        <w:rPr>
          <w:rFonts w:ascii="宋体" w:hAnsi="宋体" w:cs="仿宋_GB2312"/>
          <w:szCs w:val="21"/>
        </w:rPr>
      </w:pPr>
      <w:r>
        <w:rPr>
          <w:rFonts w:ascii="宋体" w:hAnsi="宋体" w:cs="仿宋_GB2312"/>
          <w:szCs w:val="21"/>
        </w:rPr>
        <w:t xml:space="preserve">           </w:t>
      </w: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宋体" w:hAnsi="宋体" w:cs="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p>
    <w:sectPr>
      <w:pgSz w:w="11906" w:h="16838"/>
      <w:pgMar w:top="1474"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210" w:leftChars="100" w:right="780"/>
      <w:rPr>
        <w:rFonts w:eastAsia="楷体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- 45 -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- 45 -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5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- 1 -</w:t>
                    </w:r>
                    <w:r>
                      <w:fldChar w:fldCharType="end"/>
                    </w:r>
                  </w:p>
                </w:txbxContent>
              </v:textbox>
            </v:shape>
          </w:pict>
        </mc:Fallback>
      </mc:AlternateContent>
    </w:r>
  </w:p>
  <w:p>
    <w:pPr>
      <w:pStyle w:val="3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2"/>
      </w:rPr>
    </w:pPr>
    <w:r>
      <w:fldChar w:fldCharType="begin"/>
    </w:r>
    <w:r>
      <w:rPr>
        <w:rStyle w:val="52"/>
      </w:rPr>
      <w:instrText xml:space="preserve">PAGE  </w:instrText>
    </w:r>
    <w:r>
      <w:fldChar w:fldCharType="separate"/>
    </w:r>
    <w:r>
      <w:rPr>
        <w:rStyle w:val="52"/>
      </w:rPr>
      <w:t>39</w:t>
    </w:r>
    <w:r>
      <w:fldChar w:fldCharType="end"/>
    </w:r>
  </w:p>
  <w:p>
    <w:pPr>
      <w:pStyle w:val="3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0"/>
        <w:tab w:val="right" w:pos="426"/>
        <w:tab w:val="clear" w:pos="4153"/>
        <w:tab w:val="clear" w:pos="8306"/>
      </w:tabs>
      <w:ind w:left="2" w:right="3741"/>
      <w:rPr>
        <w:rFonts w:eastAsia="楷体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- 27 -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- 27 -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jc w:val="right"/>
      <w:rPr>
        <w:sz w:val="21"/>
        <w:szCs w:val="21"/>
        <w:u w:val="none"/>
      </w:rPr>
    </w:pPr>
    <w:r>
      <w:rPr>
        <w:rFonts w:hint="eastAsia" w:asciiTheme="minorEastAsia" w:hAnsiTheme="minorEastAsia" w:eastAsiaTheme="minorEastAsia"/>
        <w:color w:val="000000" w:themeColor="text1"/>
        <w:sz w:val="21"/>
        <w:szCs w:val="21"/>
        <w:u w:val="none"/>
        <w:lang w:eastAsia="zh-CN"/>
        <w14:textFill>
          <w14:solidFill>
            <w14:schemeClr w14:val="tx1"/>
          </w14:solidFill>
        </w14:textFill>
      </w:rPr>
      <w:t>南华大学附属第一医院污水处理站运营托管服务采购项目重新立项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B575A"/>
    <w:multiLevelType w:val="multilevel"/>
    <w:tmpl w:val="4DFB575A"/>
    <w:lvl w:ilvl="0" w:tentative="0">
      <w:start w:val="1"/>
      <w:numFmt w:val="chineseCountingThousand"/>
      <w:pStyle w:val="7"/>
      <w:suff w:val="nothing"/>
      <w:lvlText w:val="第%1章"/>
      <w:lvlJc w:val="left"/>
      <w:pPr>
        <w:ind w:left="0" w:firstLine="0"/>
      </w:pPr>
    </w:lvl>
    <w:lvl w:ilvl="1" w:tentative="0">
      <w:start w:val="1"/>
      <w:numFmt w:val="none"/>
      <w:pStyle w:val="8"/>
      <w:suff w:val="nothing"/>
      <w:lvlText w:val=""/>
      <w:lvlJc w:val="left"/>
      <w:pPr>
        <w:ind w:left="0" w:firstLine="0"/>
      </w:pPr>
    </w:lvl>
    <w:lvl w:ilvl="2" w:tentative="0">
      <w:start w:val="1"/>
      <w:numFmt w:val="none"/>
      <w:pStyle w:val="9"/>
      <w:suff w:val="nothing"/>
      <w:lvlText w:val=""/>
      <w:lvlJc w:val="left"/>
      <w:pPr>
        <w:ind w:left="0" w:firstLine="0"/>
      </w:pPr>
    </w:lvl>
    <w:lvl w:ilvl="3" w:tentative="0">
      <w:start w:val="1"/>
      <w:numFmt w:val="none"/>
      <w:pStyle w:val="10"/>
      <w:suff w:val="nothing"/>
      <w:lvlText w:val=""/>
      <w:lvlJc w:val="left"/>
      <w:pPr>
        <w:ind w:left="0" w:firstLine="0"/>
      </w:pPr>
    </w:lvl>
    <w:lvl w:ilvl="4" w:tentative="0">
      <w:start w:val="1"/>
      <w:numFmt w:val="none"/>
      <w:pStyle w:val="11"/>
      <w:suff w:val="nothing"/>
      <w:lvlText w:val=""/>
      <w:lvlJc w:val="left"/>
      <w:pPr>
        <w:ind w:left="0" w:firstLine="0"/>
      </w:pPr>
    </w:lvl>
    <w:lvl w:ilvl="5" w:tentative="0">
      <w:start w:val="1"/>
      <w:numFmt w:val="none"/>
      <w:pStyle w:val="12"/>
      <w:suff w:val="nothing"/>
      <w:lvlText w:val=""/>
      <w:lvlJc w:val="left"/>
      <w:pPr>
        <w:ind w:left="0" w:firstLine="0"/>
      </w:pPr>
    </w:lvl>
    <w:lvl w:ilvl="6" w:tentative="0">
      <w:start w:val="1"/>
      <w:numFmt w:val="none"/>
      <w:pStyle w:val="13"/>
      <w:suff w:val="nothing"/>
      <w:lvlText w:val=""/>
      <w:lvlJc w:val="left"/>
      <w:pPr>
        <w:ind w:left="0" w:firstLine="0"/>
      </w:pPr>
    </w:lvl>
    <w:lvl w:ilvl="7" w:tentative="0">
      <w:start w:val="1"/>
      <w:numFmt w:val="none"/>
      <w:pStyle w:val="14"/>
      <w:suff w:val="nothing"/>
      <w:lvlText w:val=""/>
      <w:lvlJc w:val="left"/>
      <w:pPr>
        <w:ind w:left="0" w:firstLine="0"/>
      </w:pPr>
    </w:lvl>
    <w:lvl w:ilvl="8" w:tentative="0">
      <w:start w:val="1"/>
      <w:numFmt w:val="none"/>
      <w:pStyle w:val="15"/>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4"/>
    <w:rsid w:val="00000A61"/>
    <w:rsid w:val="00000A83"/>
    <w:rsid w:val="000013FE"/>
    <w:rsid w:val="0000186F"/>
    <w:rsid w:val="00001A03"/>
    <w:rsid w:val="00002568"/>
    <w:rsid w:val="000037DE"/>
    <w:rsid w:val="00003D23"/>
    <w:rsid w:val="00006552"/>
    <w:rsid w:val="0001024D"/>
    <w:rsid w:val="00010382"/>
    <w:rsid w:val="00012518"/>
    <w:rsid w:val="00013365"/>
    <w:rsid w:val="00013466"/>
    <w:rsid w:val="00013574"/>
    <w:rsid w:val="00013923"/>
    <w:rsid w:val="00014A82"/>
    <w:rsid w:val="00015858"/>
    <w:rsid w:val="0001617A"/>
    <w:rsid w:val="00017581"/>
    <w:rsid w:val="000175E8"/>
    <w:rsid w:val="00017CF0"/>
    <w:rsid w:val="00017F9C"/>
    <w:rsid w:val="000252F0"/>
    <w:rsid w:val="00025EED"/>
    <w:rsid w:val="00027D0F"/>
    <w:rsid w:val="00030A53"/>
    <w:rsid w:val="0003135A"/>
    <w:rsid w:val="00031705"/>
    <w:rsid w:val="00031C52"/>
    <w:rsid w:val="00032D53"/>
    <w:rsid w:val="000333AE"/>
    <w:rsid w:val="000358FA"/>
    <w:rsid w:val="00035B2B"/>
    <w:rsid w:val="00035D71"/>
    <w:rsid w:val="00040247"/>
    <w:rsid w:val="00040313"/>
    <w:rsid w:val="00040E14"/>
    <w:rsid w:val="0004234C"/>
    <w:rsid w:val="00045B4B"/>
    <w:rsid w:val="00046881"/>
    <w:rsid w:val="00047440"/>
    <w:rsid w:val="0004759C"/>
    <w:rsid w:val="00047C70"/>
    <w:rsid w:val="0005019F"/>
    <w:rsid w:val="000508AD"/>
    <w:rsid w:val="0005168D"/>
    <w:rsid w:val="0005208E"/>
    <w:rsid w:val="000536D6"/>
    <w:rsid w:val="00053BE1"/>
    <w:rsid w:val="00053C94"/>
    <w:rsid w:val="0005412D"/>
    <w:rsid w:val="0005585E"/>
    <w:rsid w:val="000566BD"/>
    <w:rsid w:val="0005701C"/>
    <w:rsid w:val="000606A2"/>
    <w:rsid w:val="00060C04"/>
    <w:rsid w:val="00061310"/>
    <w:rsid w:val="00061914"/>
    <w:rsid w:val="000620A1"/>
    <w:rsid w:val="00065047"/>
    <w:rsid w:val="000662FC"/>
    <w:rsid w:val="000675E6"/>
    <w:rsid w:val="000677C7"/>
    <w:rsid w:val="00067D0B"/>
    <w:rsid w:val="000709D9"/>
    <w:rsid w:val="000709FB"/>
    <w:rsid w:val="00070B21"/>
    <w:rsid w:val="00072573"/>
    <w:rsid w:val="0007262D"/>
    <w:rsid w:val="0007343D"/>
    <w:rsid w:val="000745C1"/>
    <w:rsid w:val="0007473A"/>
    <w:rsid w:val="00074CB8"/>
    <w:rsid w:val="00076502"/>
    <w:rsid w:val="000775DD"/>
    <w:rsid w:val="00082346"/>
    <w:rsid w:val="000841E5"/>
    <w:rsid w:val="00085204"/>
    <w:rsid w:val="00087CA6"/>
    <w:rsid w:val="000904BC"/>
    <w:rsid w:val="00090D47"/>
    <w:rsid w:val="00091751"/>
    <w:rsid w:val="000917F5"/>
    <w:rsid w:val="000921D2"/>
    <w:rsid w:val="00092E61"/>
    <w:rsid w:val="0009483A"/>
    <w:rsid w:val="00095A0E"/>
    <w:rsid w:val="00097FB9"/>
    <w:rsid w:val="000A0CD6"/>
    <w:rsid w:val="000A2575"/>
    <w:rsid w:val="000A2631"/>
    <w:rsid w:val="000A3313"/>
    <w:rsid w:val="000A4283"/>
    <w:rsid w:val="000A6658"/>
    <w:rsid w:val="000B0390"/>
    <w:rsid w:val="000B0528"/>
    <w:rsid w:val="000B0E6E"/>
    <w:rsid w:val="000B1637"/>
    <w:rsid w:val="000B1715"/>
    <w:rsid w:val="000B2722"/>
    <w:rsid w:val="000B320F"/>
    <w:rsid w:val="000B3A4F"/>
    <w:rsid w:val="000B48CB"/>
    <w:rsid w:val="000B5D7D"/>
    <w:rsid w:val="000B67D9"/>
    <w:rsid w:val="000B6A6A"/>
    <w:rsid w:val="000B7D83"/>
    <w:rsid w:val="000B7DF1"/>
    <w:rsid w:val="000C035B"/>
    <w:rsid w:val="000C0714"/>
    <w:rsid w:val="000C188C"/>
    <w:rsid w:val="000C245B"/>
    <w:rsid w:val="000C2AE6"/>
    <w:rsid w:val="000C354A"/>
    <w:rsid w:val="000C4FD9"/>
    <w:rsid w:val="000C52A0"/>
    <w:rsid w:val="000C6B2C"/>
    <w:rsid w:val="000C70C2"/>
    <w:rsid w:val="000C7812"/>
    <w:rsid w:val="000D01CE"/>
    <w:rsid w:val="000D04C8"/>
    <w:rsid w:val="000D0E5E"/>
    <w:rsid w:val="000D1018"/>
    <w:rsid w:val="000D211B"/>
    <w:rsid w:val="000D2A3F"/>
    <w:rsid w:val="000D5249"/>
    <w:rsid w:val="000D6514"/>
    <w:rsid w:val="000E1037"/>
    <w:rsid w:val="000E3A4C"/>
    <w:rsid w:val="000E3DCC"/>
    <w:rsid w:val="000E4525"/>
    <w:rsid w:val="000E46D9"/>
    <w:rsid w:val="000E4E95"/>
    <w:rsid w:val="000E50DD"/>
    <w:rsid w:val="000E640C"/>
    <w:rsid w:val="000E7308"/>
    <w:rsid w:val="000E7417"/>
    <w:rsid w:val="000E741F"/>
    <w:rsid w:val="000F0204"/>
    <w:rsid w:val="000F1A45"/>
    <w:rsid w:val="000F1AF9"/>
    <w:rsid w:val="000F21C8"/>
    <w:rsid w:val="000F282A"/>
    <w:rsid w:val="000F29D2"/>
    <w:rsid w:val="000F3713"/>
    <w:rsid w:val="000F376A"/>
    <w:rsid w:val="000F4155"/>
    <w:rsid w:val="000F44CB"/>
    <w:rsid w:val="000F4F2F"/>
    <w:rsid w:val="000F5866"/>
    <w:rsid w:val="000F620C"/>
    <w:rsid w:val="000F7591"/>
    <w:rsid w:val="001000C3"/>
    <w:rsid w:val="001047E3"/>
    <w:rsid w:val="00104908"/>
    <w:rsid w:val="00105A9C"/>
    <w:rsid w:val="00106446"/>
    <w:rsid w:val="00107077"/>
    <w:rsid w:val="00110B4B"/>
    <w:rsid w:val="001113FC"/>
    <w:rsid w:val="00111596"/>
    <w:rsid w:val="00111CC9"/>
    <w:rsid w:val="00112A3D"/>
    <w:rsid w:val="001133AC"/>
    <w:rsid w:val="00113C61"/>
    <w:rsid w:val="00114B15"/>
    <w:rsid w:val="00117058"/>
    <w:rsid w:val="00117D51"/>
    <w:rsid w:val="00120369"/>
    <w:rsid w:val="00121A30"/>
    <w:rsid w:val="001228FD"/>
    <w:rsid w:val="001232B6"/>
    <w:rsid w:val="00123351"/>
    <w:rsid w:val="00124345"/>
    <w:rsid w:val="00125534"/>
    <w:rsid w:val="00125769"/>
    <w:rsid w:val="00125F48"/>
    <w:rsid w:val="00126231"/>
    <w:rsid w:val="001264DC"/>
    <w:rsid w:val="0013172D"/>
    <w:rsid w:val="001322EF"/>
    <w:rsid w:val="001336B4"/>
    <w:rsid w:val="00134894"/>
    <w:rsid w:val="001348D3"/>
    <w:rsid w:val="00135375"/>
    <w:rsid w:val="001370E3"/>
    <w:rsid w:val="00140DA3"/>
    <w:rsid w:val="001413DF"/>
    <w:rsid w:val="00141BEE"/>
    <w:rsid w:val="0014274E"/>
    <w:rsid w:val="00143121"/>
    <w:rsid w:val="00144141"/>
    <w:rsid w:val="00144B56"/>
    <w:rsid w:val="00144F97"/>
    <w:rsid w:val="0014699B"/>
    <w:rsid w:val="00146D14"/>
    <w:rsid w:val="00151BA6"/>
    <w:rsid w:val="00151E13"/>
    <w:rsid w:val="00153C89"/>
    <w:rsid w:val="00156049"/>
    <w:rsid w:val="001564DB"/>
    <w:rsid w:val="0016109A"/>
    <w:rsid w:val="001617E9"/>
    <w:rsid w:val="00162175"/>
    <w:rsid w:val="00162403"/>
    <w:rsid w:val="0016254E"/>
    <w:rsid w:val="00162F23"/>
    <w:rsid w:val="0016451E"/>
    <w:rsid w:val="0016583A"/>
    <w:rsid w:val="00166A7A"/>
    <w:rsid w:val="00166F38"/>
    <w:rsid w:val="00167763"/>
    <w:rsid w:val="001708E8"/>
    <w:rsid w:val="0017120C"/>
    <w:rsid w:val="0017148D"/>
    <w:rsid w:val="00173713"/>
    <w:rsid w:val="00173A95"/>
    <w:rsid w:val="00173D83"/>
    <w:rsid w:val="00173FF2"/>
    <w:rsid w:val="0017404D"/>
    <w:rsid w:val="00175C3F"/>
    <w:rsid w:val="00175FE2"/>
    <w:rsid w:val="0017633E"/>
    <w:rsid w:val="00176DC7"/>
    <w:rsid w:val="0017741D"/>
    <w:rsid w:val="0018053B"/>
    <w:rsid w:val="001810E9"/>
    <w:rsid w:val="00181D2E"/>
    <w:rsid w:val="001828D3"/>
    <w:rsid w:val="001846F2"/>
    <w:rsid w:val="001850A4"/>
    <w:rsid w:val="00185B43"/>
    <w:rsid w:val="00186927"/>
    <w:rsid w:val="001870D2"/>
    <w:rsid w:val="00190C8F"/>
    <w:rsid w:val="00190F46"/>
    <w:rsid w:val="00192075"/>
    <w:rsid w:val="00193526"/>
    <w:rsid w:val="00193EA5"/>
    <w:rsid w:val="00195771"/>
    <w:rsid w:val="00197441"/>
    <w:rsid w:val="001A053D"/>
    <w:rsid w:val="001A101A"/>
    <w:rsid w:val="001A2976"/>
    <w:rsid w:val="001A3AA5"/>
    <w:rsid w:val="001A3AFC"/>
    <w:rsid w:val="001A3BCB"/>
    <w:rsid w:val="001A4D9B"/>
    <w:rsid w:val="001A561A"/>
    <w:rsid w:val="001A58C6"/>
    <w:rsid w:val="001A59EB"/>
    <w:rsid w:val="001B2294"/>
    <w:rsid w:val="001B313B"/>
    <w:rsid w:val="001B383C"/>
    <w:rsid w:val="001B4531"/>
    <w:rsid w:val="001B4F01"/>
    <w:rsid w:val="001B5907"/>
    <w:rsid w:val="001C2072"/>
    <w:rsid w:val="001C274B"/>
    <w:rsid w:val="001C3481"/>
    <w:rsid w:val="001C4E4C"/>
    <w:rsid w:val="001C5444"/>
    <w:rsid w:val="001C6E64"/>
    <w:rsid w:val="001C7B25"/>
    <w:rsid w:val="001D0E12"/>
    <w:rsid w:val="001D0F5F"/>
    <w:rsid w:val="001D2518"/>
    <w:rsid w:val="001D26DC"/>
    <w:rsid w:val="001D300D"/>
    <w:rsid w:val="001D302B"/>
    <w:rsid w:val="001D574C"/>
    <w:rsid w:val="001D58F8"/>
    <w:rsid w:val="001D5B75"/>
    <w:rsid w:val="001E1D4A"/>
    <w:rsid w:val="001E3A6E"/>
    <w:rsid w:val="001E3AF6"/>
    <w:rsid w:val="001E3D6A"/>
    <w:rsid w:val="001E4458"/>
    <w:rsid w:val="001E59F7"/>
    <w:rsid w:val="001E6A66"/>
    <w:rsid w:val="001F075D"/>
    <w:rsid w:val="001F130D"/>
    <w:rsid w:val="001F1819"/>
    <w:rsid w:val="001F3A23"/>
    <w:rsid w:val="001F3E01"/>
    <w:rsid w:val="001F4878"/>
    <w:rsid w:val="001F5321"/>
    <w:rsid w:val="001F534E"/>
    <w:rsid w:val="001F5B18"/>
    <w:rsid w:val="001F7AFA"/>
    <w:rsid w:val="00200789"/>
    <w:rsid w:val="002008A9"/>
    <w:rsid w:val="00200C39"/>
    <w:rsid w:val="002018AB"/>
    <w:rsid w:val="002023F0"/>
    <w:rsid w:val="0020308E"/>
    <w:rsid w:val="00203EA6"/>
    <w:rsid w:val="00206018"/>
    <w:rsid w:val="00210EE8"/>
    <w:rsid w:val="00210F21"/>
    <w:rsid w:val="002123F8"/>
    <w:rsid w:val="0021548B"/>
    <w:rsid w:val="00215C17"/>
    <w:rsid w:val="00215D98"/>
    <w:rsid w:val="00216282"/>
    <w:rsid w:val="00216FA2"/>
    <w:rsid w:val="002203CE"/>
    <w:rsid w:val="00221240"/>
    <w:rsid w:val="00221600"/>
    <w:rsid w:val="00221BE4"/>
    <w:rsid w:val="00223541"/>
    <w:rsid w:val="00223B66"/>
    <w:rsid w:val="002240A4"/>
    <w:rsid w:val="0022478B"/>
    <w:rsid w:val="00224BDA"/>
    <w:rsid w:val="00225547"/>
    <w:rsid w:val="002303FF"/>
    <w:rsid w:val="00230B4C"/>
    <w:rsid w:val="0023235C"/>
    <w:rsid w:val="00232836"/>
    <w:rsid w:val="0023339C"/>
    <w:rsid w:val="00234309"/>
    <w:rsid w:val="00235123"/>
    <w:rsid w:val="002416E2"/>
    <w:rsid w:val="00241748"/>
    <w:rsid w:val="002419D0"/>
    <w:rsid w:val="00242897"/>
    <w:rsid w:val="00242A62"/>
    <w:rsid w:val="002433AE"/>
    <w:rsid w:val="002444EA"/>
    <w:rsid w:val="00245EF6"/>
    <w:rsid w:val="00247021"/>
    <w:rsid w:val="0025131F"/>
    <w:rsid w:val="00253175"/>
    <w:rsid w:val="00253669"/>
    <w:rsid w:val="00253F0D"/>
    <w:rsid w:val="00255414"/>
    <w:rsid w:val="00255AC7"/>
    <w:rsid w:val="002569C5"/>
    <w:rsid w:val="00256A84"/>
    <w:rsid w:val="00257F4D"/>
    <w:rsid w:val="0026198C"/>
    <w:rsid w:val="00261AC6"/>
    <w:rsid w:val="00261FDD"/>
    <w:rsid w:val="00262FCB"/>
    <w:rsid w:val="00263AB2"/>
    <w:rsid w:val="002643E5"/>
    <w:rsid w:val="00264EB2"/>
    <w:rsid w:val="00265009"/>
    <w:rsid w:val="00266804"/>
    <w:rsid w:val="0026705D"/>
    <w:rsid w:val="00267C83"/>
    <w:rsid w:val="00270DBF"/>
    <w:rsid w:val="00272498"/>
    <w:rsid w:val="002725B6"/>
    <w:rsid w:val="002726B5"/>
    <w:rsid w:val="00273F0A"/>
    <w:rsid w:val="00276030"/>
    <w:rsid w:val="00276AC4"/>
    <w:rsid w:val="00276F7B"/>
    <w:rsid w:val="0027767A"/>
    <w:rsid w:val="002815E4"/>
    <w:rsid w:val="0028240A"/>
    <w:rsid w:val="00282892"/>
    <w:rsid w:val="00283506"/>
    <w:rsid w:val="00283A43"/>
    <w:rsid w:val="002842BF"/>
    <w:rsid w:val="00284301"/>
    <w:rsid w:val="00284647"/>
    <w:rsid w:val="0028487B"/>
    <w:rsid w:val="002849EB"/>
    <w:rsid w:val="00285A81"/>
    <w:rsid w:val="00285BDF"/>
    <w:rsid w:val="00285F61"/>
    <w:rsid w:val="002862E3"/>
    <w:rsid w:val="002868A8"/>
    <w:rsid w:val="00287BB6"/>
    <w:rsid w:val="00287E12"/>
    <w:rsid w:val="00290DAB"/>
    <w:rsid w:val="00291042"/>
    <w:rsid w:val="00291C24"/>
    <w:rsid w:val="00291D3C"/>
    <w:rsid w:val="00292441"/>
    <w:rsid w:val="00292F73"/>
    <w:rsid w:val="00293A07"/>
    <w:rsid w:val="00293D21"/>
    <w:rsid w:val="00294492"/>
    <w:rsid w:val="00295014"/>
    <w:rsid w:val="002950BC"/>
    <w:rsid w:val="00295CE8"/>
    <w:rsid w:val="002962B1"/>
    <w:rsid w:val="002965AD"/>
    <w:rsid w:val="00297B75"/>
    <w:rsid w:val="002A0C4E"/>
    <w:rsid w:val="002A1672"/>
    <w:rsid w:val="002A22D6"/>
    <w:rsid w:val="002A3505"/>
    <w:rsid w:val="002A3741"/>
    <w:rsid w:val="002A3AAA"/>
    <w:rsid w:val="002A3AFE"/>
    <w:rsid w:val="002A4AAB"/>
    <w:rsid w:val="002A5CB2"/>
    <w:rsid w:val="002A5E44"/>
    <w:rsid w:val="002A65E2"/>
    <w:rsid w:val="002A7BBC"/>
    <w:rsid w:val="002B12E2"/>
    <w:rsid w:val="002B1662"/>
    <w:rsid w:val="002B3F03"/>
    <w:rsid w:val="002B4148"/>
    <w:rsid w:val="002B469A"/>
    <w:rsid w:val="002B51EA"/>
    <w:rsid w:val="002B5605"/>
    <w:rsid w:val="002B7974"/>
    <w:rsid w:val="002C0DD0"/>
    <w:rsid w:val="002C1AB9"/>
    <w:rsid w:val="002C290C"/>
    <w:rsid w:val="002C2D6E"/>
    <w:rsid w:val="002C3042"/>
    <w:rsid w:val="002C363B"/>
    <w:rsid w:val="002C465A"/>
    <w:rsid w:val="002C666B"/>
    <w:rsid w:val="002C6C07"/>
    <w:rsid w:val="002C6E3F"/>
    <w:rsid w:val="002D0ADE"/>
    <w:rsid w:val="002D13DD"/>
    <w:rsid w:val="002D1777"/>
    <w:rsid w:val="002D2F30"/>
    <w:rsid w:val="002D5C40"/>
    <w:rsid w:val="002D61AB"/>
    <w:rsid w:val="002D7BB2"/>
    <w:rsid w:val="002E1F2C"/>
    <w:rsid w:val="002E273F"/>
    <w:rsid w:val="002E28E9"/>
    <w:rsid w:val="002E3240"/>
    <w:rsid w:val="002E348F"/>
    <w:rsid w:val="002E36ED"/>
    <w:rsid w:val="002E6BFE"/>
    <w:rsid w:val="002F4310"/>
    <w:rsid w:val="002F4865"/>
    <w:rsid w:val="002F499D"/>
    <w:rsid w:val="002F654F"/>
    <w:rsid w:val="002F7B60"/>
    <w:rsid w:val="00306A74"/>
    <w:rsid w:val="00313325"/>
    <w:rsid w:val="00313A4D"/>
    <w:rsid w:val="00313F34"/>
    <w:rsid w:val="00314CEB"/>
    <w:rsid w:val="00314DB9"/>
    <w:rsid w:val="0031707F"/>
    <w:rsid w:val="003175EE"/>
    <w:rsid w:val="0032058A"/>
    <w:rsid w:val="00321E2F"/>
    <w:rsid w:val="00323CA0"/>
    <w:rsid w:val="00324865"/>
    <w:rsid w:val="00324E36"/>
    <w:rsid w:val="0032557C"/>
    <w:rsid w:val="00326478"/>
    <w:rsid w:val="00327742"/>
    <w:rsid w:val="0032788A"/>
    <w:rsid w:val="00331031"/>
    <w:rsid w:val="00331281"/>
    <w:rsid w:val="003333CF"/>
    <w:rsid w:val="003347D8"/>
    <w:rsid w:val="003347F8"/>
    <w:rsid w:val="003348AD"/>
    <w:rsid w:val="003350FF"/>
    <w:rsid w:val="003359F2"/>
    <w:rsid w:val="00340374"/>
    <w:rsid w:val="003405B0"/>
    <w:rsid w:val="00340734"/>
    <w:rsid w:val="0034095A"/>
    <w:rsid w:val="00340B45"/>
    <w:rsid w:val="00342E44"/>
    <w:rsid w:val="00343334"/>
    <w:rsid w:val="00346575"/>
    <w:rsid w:val="00346F10"/>
    <w:rsid w:val="00347DC8"/>
    <w:rsid w:val="003500CC"/>
    <w:rsid w:val="00350642"/>
    <w:rsid w:val="0035087B"/>
    <w:rsid w:val="00352E5D"/>
    <w:rsid w:val="003538B4"/>
    <w:rsid w:val="00353D3F"/>
    <w:rsid w:val="003546A7"/>
    <w:rsid w:val="003546C2"/>
    <w:rsid w:val="00354E41"/>
    <w:rsid w:val="00355001"/>
    <w:rsid w:val="00355F7D"/>
    <w:rsid w:val="00356C0C"/>
    <w:rsid w:val="00357C69"/>
    <w:rsid w:val="0036003D"/>
    <w:rsid w:val="003601EE"/>
    <w:rsid w:val="0036092F"/>
    <w:rsid w:val="0036212C"/>
    <w:rsid w:val="00364709"/>
    <w:rsid w:val="00365795"/>
    <w:rsid w:val="00365849"/>
    <w:rsid w:val="0036608F"/>
    <w:rsid w:val="0036773A"/>
    <w:rsid w:val="00367761"/>
    <w:rsid w:val="003723EC"/>
    <w:rsid w:val="003725C2"/>
    <w:rsid w:val="00373228"/>
    <w:rsid w:val="0037398C"/>
    <w:rsid w:val="00373DDA"/>
    <w:rsid w:val="003751D4"/>
    <w:rsid w:val="0037765F"/>
    <w:rsid w:val="0037789B"/>
    <w:rsid w:val="003805C3"/>
    <w:rsid w:val="003808DC"/>
    <w:rsid w:val="003812EE"/>
    <w:rsid w:val="00381353"/>
    <w:rsid w:val="00381AD3"/>
    <w:rsid w:val="00382023"/>
    <w:rsid w:val="00382317"/>
    <w:rsid w:val="00382748"/>
    <w:rsid w:val="0038366B"/>
    <w:rsid w:val="00383E27"/>
    <w:rsid w:val="00384A33"/>
    <w:rsid w:val="00384F53"/>
    <w:rsid w:val="00385299"/>
    <w:rsid w:val="0038718B"/>
    <w:rsid w:val="00390037"/>
    <w:rsid w:val="00390F51"/>
    <w:rsid w:val="00391805"/>
    <w:rsid w:val="00392780"/>
    <w:rsid w:val="003965DB"/>
    <w:rsid w:val="003966A4"/>
    <w:rsid w:val="00397EA7"/>
    <w:rsid w:val="003A1873"/>
    <w:rsid w:val="003A389D"/>
    <w:rsid w:val="003A4099"/>
    <w:rsid w:val="003A48A3"/>
    <w:rsid w:val="003A4DEB"/>
    <w:rsid w:val="003A56B4"/>
    <w:rsid w:val="003A7313"/>
    <w:rsid w:val="003A7CE9"/>
    <w:rsid w:val="003A7D94"/>
    <w:rsid w:val="003B074C"/>
    <w:rsid w:val="003B12F3"/>
    <w:rsid w:val="003B304F"/>
    <w:rsid w:val="003B36FD"/>
    <w:rsid w:val="003B52E3"/>
    <w:rsid w:val="003C0A14"/>
    <w:rsid w:val="003C1256"/>
    <w:rsid w:val="003C1404"/>
    <w:rsid w:val="003C2F63"/>
    <w:rsid w:val="003C5D94"/>
    <w:rsid w:val="003C7A73"/>
    <w:rsid w:val="003D061C"/>
    <w:rsid w:val="003D16A0"/>
    <w:rsid w:val="003D188B"/>
    <w:rsid w:val="003D3B9A"/>
    <w:rsid w:val="003D42BA"/>
    <w:rsid w:val="003D4669"/>
    <w:rsid w:val="003D5E2A"/>
    <w:rsid w:val="003D6216"/>
    <w:rsid w:val="003D6B57"/>
    <w:rsid w:val="003E0880"/>
    <w:rsid w:val="003E0893"/>
    <w:rsid w:val="003E324F"/>
    <w:rsid w:val="003E3CBC"/>
    <w:rsid w:val="003E4724"/>
    <w:rsid w:val="003E5316"/>
    <w:rsid w:val="003E5B81"/>
    <w:rsid w:val="003E5D9E"/>
    <w:rsid w:val="003E63DA"/>
    <w:rsid w:val="003E6E9A"/>
    <w:rsid w:val="003F0052"/>
    <w:rsid w:val="003F080A"/>
    <w:rsid w:val="003F2A1A"/>
    <w:rsid w:val="003F4609"/>
    <w:rsid w:val="003F4887"/>
    <w:rsid w:val="003F6718"/>
    <w:rsid w:val="0040036D"/>
    <w:rsid w:val="00400ACB"/>
    <w:rsid w:val="004014AC"/>
    <w:rsid w:val="00401EA9"/>
    <w:rsid w:val="00402BA3"/>
    <w:rsid w:val="00404569"/>
    <w:rsid w:val="0040556F"/>
    <w:rsid w:val="00405C57"/>
    <w:rsid w:val="0040634B"/>
    <w:rsid w:val="00406717"/>
    <w:rsid w:val="00406F15"/>
    <w:rsid w:val="00407DF5"/>
    <w:rsid w:val="004112B7"/>
    <w:rsid w:val="004113F2"/>
    <w:rsid w:val="0041189C"/>
    <w:rsid w:val="0041286B"/>
    <w:rsid w:val="00412E55"/>
    <w:rsid w:val="00412EDA"/>
    <w:rsid w:val="00413ED6"/>
    <w:rsid w:val="00414429"/>
    <w:rsid w:val="0041470D"/>
    <w:rsid w:val="004151BA"/>
    <w:rsid w:val="00415306"/>
    <w:rsid w:val="004165A5"/>
    <w:rsid w:val="004165E0"/>
    <w:rsid w:val="0042020F"/>
    <w:rsid w:val="004208EE"/>
    <w:rsid w:val="004209AD"/>
    <w:rsid w:val="00420E26"/>
    <w:rsid w:val="00423AB0"/>
    <w:rsid w:val="004241CA"/>
    <w:rsid w:val="00424DB7"/>
    <w:rsid w:val="0042508B"/>
    <w:rsid w:val="004255AF"/>
    <w:rsid w:val="00425EF9"/>
    <w:rsid w:val="0043056E"/>
    <w:rsid w:val="00431015"/>
    <w:rsid w:val="0043102C"/>
    <w:rsid w:val="00431D80"/>
    <w:rsid w:val="00432EDE"/>
    <w:rsid w:val="004346A4"/>
    <w:rsid w:val="00434E74"/>
    <w:rsid w:val="00435970"/>
    <w:rsid w:val="004364DD"/>
    <w:rsid w:val="004366AC"/>
    <w:rsid w:val="00436879"/>
    <w:rsid w:val="00437C0C"/>
    <w:rsid w:val="00437DC8"/>
    <w:rsid w:val="00440935"/>
    <w:rsid w:val="0044137D"/>
    <w:rsid w:val="00441DE0"/>
    <w:rsid w:val="004428F8"/>
    <w:rsid w:val="004438EC"/>
    <w:rsid w:val="00445686"/>
    <w:rsid w:val="00446471"/>
    <w:rsid w:val="004470BD"/>
    <w:rsid w:val="00447425"/>
    <w:rsid w:val="00447F68"/>
    <w:rsid w:val="004508EB"/>
    <w:rsid w:val="004518F7"/>
    <w:rsid w:val="00453947"/>
    <w:rsid w:val="00456A2C"/>
    <w:rsid w:val="00457AB4"/>
    <w:rsid w:val="00460668"/>
    <w:rsid w:val="00461036"/>
    <w:rsid w:val="004611C1"/>
    <w:rsid w:val="00465AF5"/>
    <w:rsid w:val="004661B0"/>
    <w:rsid w:val="00467975"/>
    <w:rsid w:val="004702BD"/>
    <w:rsid w:val="00470775"/>
    <w:rsid w:val="00473A7F"/>
    <w:rsid w:val="00473E7D"/>
    <w:rsid w:val="004746D4"/>
    <w:rsid w:val="0047596E"/>
    <w:rsid w:val="00477865"/>
    <w:rsid w:val="00484599"/>
    <w:rsid w:val="004851C5"/>
    <w:rsid w:val="00485F0D"/>
    <w:rsid w:val="004869E3"/>
    <w:rsid w:val="00487496"/>
    <w:rsid w:val="00487EFD"/>
    <w:rsid w:val="00490E4A"/>
    <w:rsid w:val="004911DC"/>
    <w:rsid w:val="0049273C"/>
    <w:rsid w:val="00493235"/>
    <w:rsid w:val="004939B2"/>
    <w:rsid w:val="004944B6"/>
    <w:rsid w:val="00494A80"/>
    <w:rsid w:val="004A15A3"/>
    <w:rsid w:val="004A4630"/>
    <w:rsid w:val="004A4CC2"/>
    <w:rsid w:val="004A7952"/>
    <w:rsid w:val="004A7AFF"/>
    <w:rsid w:val="004B1465"/>
    <w:rsid w:val="004B5555"/>
    <w:rsid w:val="004B6A9B"/>
    <w:rsid w:val="004C0096"/>
    <w:rsid w:val="004C0A57"/>
    <w:rsid w:val="004C2694"/>
    <w:rsid w:val="004C4320"/>
    <w:rsid w:val="004C5584"/>
    <w:rsid w:val="004C6B9E"/>
    <w:rsid w:val="004C6C6E"/>
    <w:rsid w:val="004C780E"/>
    <w:rsid w:val="004D090D"/>
    <w:rsid w:val="004D14D8"/>
    <w:rsid w:val="004D3D91"/>
    <w:rsid w:val="004D4549"/>
    <w:rsid w:val="004D4BA7"/>
    <w:rsid w:val="004D5045"/>
    <w:rsid w:val="004D5ACE"/>
    <w:rsid w:val="004D5BB9"/>
    <w:rsid w:val="004D7834"/>
    <w:rsid w:val="004D78EA"/>
    <w:rsid w:val="004D7BF8"/>
    <w:rsid w:val="004E01E1"/>
    <w:rsid w:val="004E0B7A"/>
    <w:rsid w:val="004E0B8E"/>
    <w:rsid w:val="004E1894"/>
    <w:rsid w:val="004E2CF6"/>
    <w:rsid w:val="004E3BBF"/>
    <w:rsid w:val="004E518C"/>
    <w:rsid w:val="004E68F9"/>
    <w:rsid w:val="004E6F94"/>
    <w:rsid w:val="004E7578"/>
    <w:rsid w:val="004F0107"/>
    <w:rsid w:val="004F1699"/>
    <w:rsid w:val="004F3090"/>
    <w:rsid w:val="004F4346"/>
    <w:rsid w:val="004F489A"/>
    <w:rsid w:val="004F4A39"/>
    <w:rsid w:val="004F4D75"/>
    <w:rsid w:val="004F54FB"/>
    <w:rsid w:val="004F5F21"/>
    <w:rsid w:val="004F66D0"/>
    <w:rsid w:val="004F6747"/>
    <w:rsid w:val="00500F88"/>
    <w:rsid w:val="00503D4E"/>
    <w:rsid w:val="00504154"/>
    <w:rsid w:val="00504223"/>
    <w:rsid w:val="0050477B"/>
    <w:rsid w:val="005057CC"/>
    <w:rsid w:val="00505858"/>
    <w:rsid w:val="00505A9A"/>
    <w:rsid w:val="00505F80"/>
    <w:rsid w:val="00506C01"/>
    <w:rsid w:val="00507E86"/>
    <w:rsid w:val="00507EB7"/>
    <w:rsid w:val="0051089D"/>
    <w:rsid w:val="005115F3"/>
    <w:rsid w:val="00512BF2"/>
    <w:rsid w:val="00513834"/>
    <w:rsid w:val="00514908"/>
    <w:rsid w:val="00514A6D"/>
    <w:rsid w:val="00515EB7"/>
    <w:rsid w:val="00520518"/>
    <w:rsid w:val="005209D7"/>
    <w:rsid w:val="00520CD4"/>
    <w:rsid w:val="005217EF"/>
    <w:rsid w:val="0052205A"/>
    <w:rsid w:val="005222CB"/>
    <w:rsid w:val="00523D1E"/>
    <w:rsid w:val="0052537E"/>
    <w:rsid w:val="00525F48"/>
    <w:rsid w:val="0052611C"/>
    <w:rsid w:val="005261F1"/>
    <w:rsid w:val="00526784"/>
    <w:rsid w:val="00526E2C"/>
    <w:rsid w:val="0052732B"/>
    <w:rsid w:val="00527CD2"/>
    <w:rsid w:val="0053328F"/>
    <w:rsid w:val="00533FFC"/>
    <w:rsid w:val="0053539D"/>
    <w:rsid w:val="005361E0"/>
    <w:rsid w:val="00536D33"/>
    <w:rsid w:val="00540570"/>
    <w:rsid w:val="00541EC7"/>
    <w:rsid w:val="005437CF"/>
    <w:rsid w:val="0054482C"/>
    <w:rsid w:val="00547B5A"/>
    <w:rsid w:val="0055019E"/>
    <w:rsid w:val="00550282"/>
    <w:rsid w:val="0055130D"/>
    <w:rsid w:val="005537E4"/>
    <w:rsid w:val="005550DD"/>
    <w:rsid w:val="00555359"/>
    <w:rsid w:val="005554AD"/>
    <w:rsid w:val="005575BA"/>
    <w:rsid w:val="00557DC5"/>
    <w:rsid w:val="00560F77"/>
    <w:rsid w:val="00561EA3"/>
    <w:rsid w:val="005624A0"/>
    <w:rsid w:val="0056286A"/>
    <w:rsid w:val="005635C8"/>
    <w:rsid w:val="00564B12"/>
    <w:rsid w:val="0056550D"/>
    <w:rsid w:val="005659AC"/>
    <w:rsid w:val="005665E1"/>
    <w:rsid w:val="00567592"/>
    <w:rsid w:val="00567B55"/>
    <w:rsid w:val="005701BB"/>
    <w:rsid w:val="005709B5"/>
    <w:rsid w:val="00570BB9"/>
    <w:rsid w:val="005712A8"/>
    <w:rsid w:val="00572418"/>
    <w:rsid w:val="00572A77"/>
    <w:rsid w:val="00573BE5"/>
    <w:rsid w:val="00574301"/>
    <w:rsid w:val="0057463F"/>
    <w:rsid w:val="00574806"/>
    <w:rsid w:val="005752A3"/>
    <w:rsid w:val="00575CB7"/>
    <w:rsid w:val="00580F55"/>
    <w:rsid w:val="00583F70"/>
    <w:rsid w:val="00584D05"/>
    <w:rsid w:val="0058523D"/>
    <w:rsid w:val="00586934"/>
    <w:rsid w:val="00587AC7"/>
    <w:rsid w:val="00587C00"/>
    <w:rsid w:val="00587E4F"/>
    <w:rsid w:val="00591BBD"/>
    <w:rsid w:val="005928EC"/>
    <w:rsid w:val="0059449D"/>
    <w:rsid w:val="00596BB7"/>
    <w:rsid w:val="00597E4B"/>
    <w:rsid w:val="005A1260"/>
    <w:rsid w:val="005A2FA1"/>
    <w:rsid w:val="005A3014"/>
    <w:rsid w:val="005A35B6"/>
    <w:rsid w:val="005A50A0"/>
    <w:rsid w:val="005A6740"/>
    <w:rsid w:val="005A77C9"/>
    <w:rsid w:val="005A7A37"/>
    <w:rsid w:val="005B03C3"/>
    <w:rsid w:val="005B0C96"/>
    <w:rsid w:val="005B1244"/>
    <w:rsid w:val="005B214B"/>
    <w:rsid w:val="005B3314"/>
    <w:rsid w:val="005B3467"/>
    <w:rsid w:val="005B5AF6"/>
    <w:rsid w:val="005B61FE"/>
    <w:rsid w:val="005B6687"/>
    <w:rsid w:val="005C0F07"/>
    <w:rsid w:val="005C177B"/>
    <w:rsid w:val="005C1CA1"/>
    <w:rsid w:val="005C2DE6"/>
    <w:rsid w:val="005C3E05"/>
    <w:rsid w:val="005C4EBF"/>
    <w:rsid w:val="005C5098"/>
    <w:rsid w:val="005C58EB"/>
    <w:rsid w:val="005C63D9"/>
    <w:rsid w:val="005D088D"/>
    <w:rsid w:val="005D1A7D"/>
    <w:rsid w:val="005D1D9B"/>
    <w:rsid w:val="005D1F21"/>
    <w:rsid w:val="005D20CC"/>
    <w:rsid w:val="005D2C4E"/>
    <w:rsid w:val="005D392F"/>
    <w:rsid w:val="005D57AA"/>
    <w:rsid w:val="005D5D39"/>
    <w:rsid w:val="005D78A2"/>
    <w:rsid w:val="005D7E32"/>
    <w:rsid w:val="005E0DF8"/>
    <w:rsid w:val="005E1277"/>
    <w:rsid w:val="005E1C52"/>
    <w:rsid w:val="005E2E68"/>
    <w:rsid w:val="005E33D2"/>
    <w:rsid w:val="005E41E1"/>
    <w:rsid w:val="005E4BD2"/>
    <w:rsid w:val="005E4EE2"/>
    <w:rsid w:val="005E501E"/>
    <w:rsid w:val="005E50F3"/>
    <w:rsid w:val="005E5F00"/>
    <w:rsid w:val="005E776F"/>
    <w:rsid w:val="005E77C7"/>
    <w:rsid w:val="005F2D4C"/>
    <w:rsid w:val="005F37D4"/>
    <w:rsid w:val="005F42D2"/>
    <w:rsid w:val="005F4459"/>
    <w:rsid w:val="005F4DD9"/>
    <w:rsid w:val="005F51F9"/>
    <w:rsid w:val="005F67E2"/>
    <w:rsid w:val="006020D9"/>
    <w:rsid w:val="0060267A"/>
    <w:rsid w:val="006030D6"/>
    <w:rsid w:val="00605007"/>
    <w:rsid w:val="006067CC"/>
    <w:rsid w:val="00606DA4"/>
    <w:rsid w:val="006105B3"/>
    <w:rsid w:val="006119B8"/>
    <w:rsid w:val="00611AD3"/>
    <w:rsid w:val="00613FD6"/>
    <w:rsid w:val="00614CD3"/>
    <w:rsid w:val="00616BF1"/>
    <w:rsid w:val="0062043A"/>
    <w:rsid w:val="00620808"/>
    <w:rsid w:val="006217E3"/>
    <w:rsid w:val="00621A67"/>
    <w:rsid w:val="00621EDB"/>
    <w:rsid w:val="006232A3"/>
    <w:rsid w:val="006242DF"/>
    <w:rsid w:val="0062497C"/>
    <w:rsid w:val="00624EB7"/>
    <w:rsid w:val="0062600E"/>
    <w:rsid w:val="00626EC9"/>
    <w:rsid w:val="00633FA5"/>
    <w:rsid w:val="00636643"/>
    <w:rsid w:val="00637F16"/>
    <w:rsid w:val="00640570"/>
    <w:rsid w:val="00640CB0"/>
    <w:rsid w:val="00641143"/>
    <w:rsid w:val="0064267E"/>
    <w:rsid w:val="006430FF"/>
    <w:rsid w:val="0064347A"/>
    <w:rsid w:val="00643967"/>
    <w:rsid w:val="00647812"/>
    <w:rsid w:val="00647882"/>
    <w:rsid w:val="00647F9D"/>
    <w:rsid w:val="006502AB"/>
    <w:rsid w:val="00651177"/>
    <w:rsid w:val="0065343A"/>
    <w:rsid w:val="00653B74"/>
    <w:rsid w:val="006569FD"/>
    <w:rsid w:val="0066096D"/>
    <w:rsid w:val="0066100B"/>
    <w:rsid w:val="0066219C"/>
    <w:rsid w:val="0066654B"/>
    <w:rsid w:val="00666B1D"/>
    <w:rsid w:val="006672FF"/>
    <w:rsid w:val="006714EB"/>
    <w:rsid w:val="00671816"/>
    <w:rsid w:val="006724CA"/>
    <w:rsid w:val="006727E9"/>
    <w:rsid w:val="006746CD"/>
    <w:rsid w:val="00674DB1"/>
    <w:rsid w:val="006750B2"/>
    <w:rsid w:val="00677156"/>
    <w:rsid w:val="006779A1"/>
    <w:rsid w:val="0068030A"/>
    <w:rsid w:val="006807B3"/>
    <w:rsid w:val="006813A4"/>
    <w:rsid w:val="00681F77"/>
    <w:rsid w:val="006823B3"/>
    <w:rsid w:val="00682BA0"/>
    <w:rsid w:val="00682E7A"/>
    <w:rsid w:val="0068390A"/>
    <w:rsid w:val="006855D3"/>
    <w:rsid w:val="00685D06"/>
    <w:rsid w:val="00686202"/>
    <w:rsid w:val="00690243"/>
    <w:rsid w:val="0069139A"/>
    <w:rsid w:val="006917A7"/>
    <w:rsid w:val="00691862"/>
    <w:rsid w:val="0069219F"/>
    <w:rsid w:val="00693376"/>
    <w:rsid w:val="006944EB"/>
    <w:rsid w:val="00694C2D"/>
    <w:rsid w:val="006A00B7"/>
    <w:rsid w:val="006A0563"/>
    <w:rsid w:val="006A134B"/>
    <w:rsid w:val="006A1B12"/>
    <w:rsid w:val="006A229F"/>
    <w:rsid w:val="006A34AC"/>
    <w:rsid w:val="006A46A7"/>
    <w:rsid w:val="006A4D18"/>
    <w:rsid w:val="006A50E4"/>
    <w:rsid w:val="006A669B"/>
    <w:rsid w:val="006A7371"/>
    <w:rsid w:val="006B34C9"/>
    <w:rsid w:val="006B399A"/>
    <w:rsid w:val="006B4795"/>
    <w:rsid w:val="006B5791"/>
    <w:rsid w:val="006B60A2"/>
    <w:rsid w:val="006B6798"/>
    <w:rsid w:val="006B77BE"/>
    <w:rsid w:val="006B7B54"/>
    <w:rsid w:val="006C0F76"/>
    <w:rsid w:val="006C1340"/>
    <w:rsid w:val="006C23C2"/>
    <w:rsid w:val="006C2A63"/>
    <w:rsid w:val="006C33AC"/>
    <w:rsid w:val="006C5C39"/>
    <w:rsid w:val="006C723E"/>
    <w:rsid w:val="006C7981"/>
    <w:rsid w:val="006C7B71"/>
    <w:rsid w:val="006D01E3"/>
    <w:rsid w:val="006D1BE5"/>
    <w:rsid w:val="006D3A6D"/>
    <w:rsid w:val="006D46C6"/>
    <w:rsid w:val="006D4F91"/>
    <w:rsid w:val="006D5556"/>
    <w:rsid w:val="006D6DB3"/>
    <w:rsid w:val="006E0135"/>
    <w:rsid w:val="006E0419"/>
    <w:rsid w:val="006E0CF5"/>
    <w:rsid w:val="006E15B5"/>
    <w:rsid w:val="006E31A3"/>
    <w:rsid w:val="006E3F30"/>
    <w:rsid w:val="006E45CC"/>
    <w:rsid w:val="006E5C6C"/>
    <w:rsid w:val="006E63DE"/>
    <w:rsid w:val="006E6A42"/>
    <w:rsid w:val="006E70D1"/>
    <w:rsid w:val="006F137B"/>
    <w:rsid w:val="006F1DC1"/>
    <w:rsid w:val="006F2292"/>
    <w:rsid w:val="006F31D7"/>
    <w:rsid w:val="006F3670"/>
    <w:rsid w:val="006F3932"/>
    <w:rsid w:val="006F3B2C"/>
    <w:rsid w:val="006F4901"/>
    <w:rsid w:val="006F5FF4"/>
    <w:rsid w:val="006F617A"/>
    <w:rsid w:val="006F6D52"/>
    <w:rsid w:val="007001BB"/>
    <w:rsid w:val="0070184C"/>
    <w:rsid w:val="007028E7"/>
    <w:rsid w:val="007039B7"/>
    <w:rsid w:val="00704082"/>
    <w:rsid w:val="007077DC"/>
    <w:rsid w:val="00707DAE"/>
    <w:rsid w:val="00710C2B"/>
    <w:rsid w:val="00713D73"/>
    <w:rsid w:val="00714F31"/>
    <w:rsid w:val="0071593B"/>
    <w:rsid w:val="007219F6"/>
    <w:rsid w:val="00722046"/>
    <w:rsid w:val="00722CFC"/>
    <w:rsid w:val="00723266"/>
    <w:rsid w:val="0072440A"/>
    <w:rsid w:val="00724504"/>
    <w:rsid w:val="007247EB"/>
    <w:rsid w:val="007257D4"/>
    <w:rsid w:val="00726485"/>
    <w:rsid w:val="00726F2B"/>
    <w:rsid w:val="00730785"/>
    <w:rsid w:val="00732F1A"/>
    <w:rsid w:val="00733151"/>
    <w:rsid w:val="00734A87"/>
    <w:rsid w:val="00734CF6"/>
    <w:rsid w:val="00735189"/>
    <w:rsid w:val="007360FB"/>
    <w:rsid w:val="007369A0"/>
    <w:rsid w:val="00737CD3"/>
    <w:rsid w:val="00740E6A"/>
    <w:rsid w:val="007413D9"/>
    <w:rsid w:val="0074150C"/>
    <w:rsid w:val="007434B4"/>
    <w:rsid w:val="00744360"/>
    <w:rsid w:val="00745130"/>
    <w:rsid w:val="00745685"/>
    <w:rsid w:val="0074593E"/>
    <w:rsid w:val="007460BC"/>
    <w:rsid w:val="00746586"/>
    <w:rsid w:val="00747190"/>
    <w:rsid w:val="00747779"/>
    <w:rsid w:val="00747DDA"/>
    <w:rsid w:val="00747F03"/>
    <w:rsid w:val="00750446"/>
    <w:rsid w:val="00751132"/>
    <w:rsid w:val="00751F7C"/>
    <w:rsid w:val="00753FAF"/>
    <w:rsid w:val="0075519B"/>
    <w:rsid w:val="00755F77"/>
    <w:rsid w:val="007567BC"/>
    <w:rsid w:val="007568EE"/>
    <w:rsid w:val="007601F3"/>
    <w:rsid w:val="007606C3"/>
    <w:rsid w:val="00760E64"/>
    <w:rsid w:val="007611A9"/>
    <w:rsid w:val="00761C5D"/>
    <w:rsid w:val="00761F02"/>
    <w:rsid w:val="00762259"/>
    <w:rsid w:val="0076488F"/>
    <w:rsid w:val="00765AED"/>
    <w:rsid w:val="007662F0"/>
    <w:rsid w:val="0076675E"/>
    <w:rsid w:val="0076684A"/>
    <w:rsid w:val="00767220"/>
    <w:rsid w:val="00771DE6"/>
    <w:rsid w:val="007723AB"/>
    <w:rsid w:val="0077276B"/>
    <w:rsid w:val="00773C35"/>
    <w:rsid w:val="007741AD"/>
    <w:rsid w:val="00774632"/>
    <w:rsid w:val="00775065"/>
    <w:rsid w:val="00775607"/>
    <w:rsid w:val="00777B6C"/>
    <w:rsid w:val="00780CB0"/>
    <w:rsid w:val="007847B2"/>
    <w:rsid w:val="00785693"/>
    <w:rsid w:val="00785952"/>
    <w:rsid w:val="00786755"/>
    <w:rsid w:val="00787111"/>
    <w:rsid w:val="0078751B"/>
    <w:rsid w:val="00787713"/>
    <w:rsid w:val="00787B90"/>
    <w:rsid w:val="007928E2"/>
    <w:rsid w:val="007936B7"/>
    <w:rsid w:val="007938A2"/>
    <w:rsid w:val="00793C99"/>
    <w:rsid w:val="007946C7"/>
    <w:rsid w:val="0079483A"/>
    <w:rsid w:val="007948EB"/>
    <w:rsid w:val="0079531F"/>
    <w:rsid w:val="00795D1A"/>
    <w:rsid w:val="007972B8"/>
    <w:rsid w:val="00797518"/>
    <w:rsid w:val="007A33DB"/>
    <w:rsid w:val="007A3ABD"/>
    <w:rsid w:val="007A4179"/>
    <w:rsid w:val="007A4B56"/>
    <w:rsid w:val="007A4EBB"/>
    <w:rsid w:val="007A54CF"/>
    <w:rsid w:val="007A5DDD"/>
    <w:rsid w:val="007A69F1"/>
    <w:rsid w:val="007A6B90"/>
    <w:rsid w:val="007A6D7B"/>
    <w:rsid w:val="007B0338"/>
    <w:rsid w:val="007B0520"/>
    <w:rsid w:val="007B2232"/>
    <w:rsid w:val="007B4A00"/>
    <w:rsid w:val="007B4B1B"/>
    <w:rsid w:val="007B644C"/>
    <w:rsid w:val="007B65F8"/>
    <w:rsid w:val="007C2C9D"/>
    <w:rsid w:val="007C302F"/>
    <w:rsid w:val="007C38CC"/>
    <w:rsid w:val="007C55AC"/>
    <w:rsid w:val="007C5C1F"/>
    <w:rsid w:val="007C6ED7"/>
    <w:rsid w:val="007C6F43"/>
    <w:rsid w:val="007C76F3"/>
    <w:rsid w:val="007D0770"/>
    <w:rsid w:val="007D1565"/>
    <w:rsid w:val="007D23C8"/>
    <w:rsid w:val="007D348B"/>
    <w:rsid w:val="007D3A8A"/>
    <w:rsid w:val="007D405F"/>
    <w:rsid w:val="007D460B"/>
    <w:rsid w:val="007D4EAE"/>
    <w:rsid w:val="007D57AF"/>
    <w:rsid w:val="007D5C23"/>
    <w:rsid w:val="007D6E84"/>
    <w:rsid w:val="007D71A8"/>
    <w:rsid w:val="007D7812"/>
    <w:rsid w:val="007E0993"/>
    <w:rsid w:val="007E1305"/>
    <w:rsid w:val="007E1DC0"/>
    <w:rsid w:val="007E2C2B"/>
    <w:rsid w:val="007E2DEC"/>
    <w:rsid w:val="007E2F36"/>
    <w:rsid w:val="007E484A"/>
    <w:rsid w:val="007E4969"/>
    <w:rsid w:val="007E5152"/>
    <w:rsid w:val="007E5BC4"/>
    <w:rsid w:val="007F2341"/>
    <w:rsid w:val="007F547A"/>
    <w:rsid w:val="007F589A"/>
    <w:rsid w:val="007F5A41"/>
    <w:rsid w:val="007F5C7E"/>
    <w:rsid w:val="007F5C8A"/>
    <w:rsid w:val="007F6ECA"/>
    <w:rsid w:val="00801B24"/>
    <w:rsid w:val="008022FA"/>
    <w:rsid w:val="00802842"/>
    <w:rsid w:val="008029A3"/>
    <w:rsid w:val="00802AE1"/>
    <w:rsid w:val="00802D88"/>
    <w:rsid w:val="008041E9"/>
    <w:rsid w:val="0080530F"/>
    <w:rsid w:val="00805524"/>
    <w:rsid w:val="00805B8A"/>
    <w:rsid w:val="00805E68"/>
    <w:rsid w:val="008067C0"/>
    <w:rsid w:val="00807280"/>
    <w:rsid w:val="00807527"/>
    <w:rsid w:val="008100B3"/>
    <w:rsid w:val="008137E0"/>
    <w:rsid w:val="00814617"/>
    <w:rsid w:val="00814F1A"/>
    <w:rsid w:val="008168BB"/>
    <w:rsid w:val="008171F2"/>
    <w:rsid w:val="008205E0"/>
    <w:rsid w:val="00820C24"/>
    <w:rsid w:val="00821AAC"/>
    <w:rsid w:val="0082253F"/>
    <w:rsid w:val="00823B5F"/>
    <w:rsid w:val="00824B7E"/>
    <w:rsid w:val="00826A07"/>
    <w:rsid w:val="00826FDC"/>
    <w:rsid w:val="008327F1"/>
    <w:rsid w:val="0083358D"/>
    <w:rsid w:val="00833685"/>
    <w:rsid w:val="008348A7"/>
    <w:rsid w:val="008368A0"/>
    <w:rsid w:val="00840AB2"/>
    <w:rsid w:val="008417A5"/>
    <w:rsid w:val="00844C56"/>
    <w:rsid w:val="00845C17"/>
    <w:rsid w:val="00846C2C"/>
    <w:rsid w:val="008500A6"/>
    <w:rsid w:val="0085076B"/>
    <w:rsid w:val="00850AF5"/>
    <w:rsid w:val="0085129C"/>
    <w:rsid w:val="0085169E"/>
    <w:rsid w:val="00852675"/>
    <w:rsid w:val="00852853"/>
    <w:rsid w:val="008558C2"/>
    <w:rsid w:val="008570AA"/>
    <w:rsid w:val="00860E07"/>
    <w:rsid w:val="008613AD"/>
    <w:rsid w:val="0086223C"/>
    <w:rsid w:val="00862AC9"/>
    <w:rsid w:val="00862E2B"/>
    <w:rsid w:val="008634B3"/>
    <w:rsid w:val="00865FEB"/>
    <w:rsid w:val="0086659F"/>
    <w:rsid w:val="008706F9"/>
    <w:rsid w:val="00871BBB"/>
    <w:rsid w:val="0087289B"/>
    <w:rsid w:val="00873CDE"/>
    <w:rsid w:val="00874C18"/>
    <w:rsid w:val="00876925"/>
    <w:rsid w:val="00877941"/>
    <w:rsid w:val="00877B1A"/>
    <w:rsid w:val="0088016F"/>
    <w:rsid w:val="00880359"/>
    <w:rsid w:val="0088062D"/>
    <w:rsid w:val="00880C22"/>
    <w:rsid w:val="00881408"/>
    <w:rsid w:val="008821CE"/>
    <w:rsid w:val="00882419"/>
    <w:rsid w:val="008828A3"/>
    <w:rsid w:val="00882F88"/>
    <w:rsid w:val="00884527"/>
    <w:rsid w:val="00885429"/>
    <w:rsid w:val="008862FF"/>
    <w:rsid w:val="00886FAE"/>
    <w:rsid w:val="00887570"/>
    <w:rsid w:val="0088767A"/>
    <w:rsid w:val="00891A7F"/>
    <w:rsid w:val="00892D2C"/>
    <w:rsid w:val="00893531"/>
    <w:rsid w:val="008952DA"/>
    <w:rsid w:val="00895D20"/>
    <w:rsid w:val="008961A9"/>
    <w:rsid w:val="00897703"/>
    <w:rsid w:val="00897720"/>
    <w:rsid w:val="008978AE"/>
    <w:rsid w:val="008A1CC1"/>
    <w:rsid w:val="008A1E03"/>
    <w:rsid w:val="008A279A"/>
    <w:rsid w:val="008A400C"/>
    <w:rsid w:val="008A50A3"/>
    <w:rsid w:val="008A64F6"/>
    <w:rsid w:val="008A664A"/>
    <w:rsid w:val="008A6C2A"/>
    <w:rsid w:val="008A75A2"/>
    <w:rsid w:val="008B064A"/>
    <w:rsid w:val="008B4D06"/>
    <w:rsid w:val="008B4ECD"/>
    <w:rsid w:val="008B685F"/>
    <w:rsid w:val="008B7C74"/>
    <w:rsid w:val="008B7E9E"/>
    <w:rsid w:val="008C008E"/>
    <w:rsid w:val="008C2834"/>
    <w:rsid w:val="008C29DE"/>
    <w:rsid w:val="008C2DE1"/>
    <w:rsid w:val="008C3A07"/>
    <w:rsid w:val="008C3E36"/>
    <w:rsid w:val="008C41AF"/>
    <w:rsid w:val="008C47C2"/>
    <w:rsid w:val="008D0C02"/>
    <w:rsid w:val="008D201F"/>
    <w:rsid w:val="008D3FC4"/>
    <w:rsid w:val="008D499A"/>
    <w:rsid w:val="008D4A08"/>
    <w:rsid w:val="008D5A64"/>
    <w:rsid w:val="008D63C6"/>
    <w:rsid w:val="008D71E1"/>
    <w:rsid w:val="008E1B2E"/>
    <w:rsid w:val="008E290D"/>
    <w:rsid w:val="008E2E02"/>
    <w:rsid w:val="008E3392"/>
    <w:rsid w:val="008E3C1A"/>
    <w:rsid w:val="008E4819"/>
    <w:rsid w:val="008E6DFB"/>
    <w:rsid w:val="008F1C57"/>
    <w:rsid w:val="008F587E"/>
    <w:rsid w:val="008F63FC"/>
    <w:rsid w:val="008F6500"/>
    <w:rsid w:val="008F73EE"/>
    <w:rsid w:val="00901406"/>
    <w:rsid w:val="00901880"/>
    <w:rsid w:val="00901F5B"/>
    <w:rsid w:val="0090312E"/>
    <w:rsid w:val="00903231"/>
    <w:rsid w:val="00904FDD"/>
    <w:rsid w:val="009055CB"/>
    <w:rsid w:val="009069C0"/>
    <w:rsid w:val="0090766C"/>
    <w:rsid w:val="009104BE"/>
    <w:rsid w:val="00910FB9"/>
    <w:rsid w:val="0091102F"/>
    <w:rsid w:val="00914055"/>
    <w:rsid w:val="00915299"/>
    <w:rsid w:val="00915C2A"/>
    <w:rsid w:val="00916580"/>
    <w:rsid w:val="009179EE"/>
    <w:rsid w:val="00917B30"/>
    <w:rsid w:val="00921556"/>
    <w:rsid w:val="0092181D"/>
    <w:rsid w:val="00921A54"/>
    <w:rsid w:val="009220E1"/>
    <w:rsid w:val="009226FF"/>
    <w:rsid w:val="00922BF1"/>
    <w:rsid w:val="00922DDF"/>
    <w:rsid w:val="009258D3"/>
    <w:rsid w:val="00926E98"/>
    <w:rsid w:val="0093049E"/>
    <w:rsid w:val="00932D24"/>
    <w:rsid w:val="0093449D"/>
    <w:rsid w:val="0093744F"/>
    <w:rsid w:val="009438E2"/>
    <w:rsid w:val="00943F2F"/>
    <w:rsid w:val="009440E8"/>
    <w:rsid w:val="0094476B"/>
    <w:rsid w:val="009468E1"/>
    <w:rsid w:val="009471C8"/>
    <w:rsid w:val="00950768"/>
    <w:rsid w:val="00951E05"/>
    <w:rsid w:val="0095283A"/>
    <w:rsid w:val="00953295"/>
    <w:rsid w:val="009533D4"/>
    <w:rsid w:val="009536C0"/>
    <w:rsid w:val="00953F1D"/>
    <w:rsid w:val="00955A0A"/>
    <w:rsid w:val="00956792"/>
    <w:rsid w:val="009575AE"/>
    <w:rsid w:val="0096037C"/>
    <w:rsid w:val="009605C3"/>
    <w:rsid w:val="00960AEF"/>
    <w:rsid w:val="00962256"/>
    <w:rsid w:val="00964404"/>
    <w:rsid w:val="009663CE"/>
    <w:rsid w:val="00966666"/>
    <w:rsid w:val="00966A87"/>
    <w:rsid w:val="00967B29"/>
    <w:rsid w:val="00967EB5"/>
    <w:rsid w:val="0097053B"/>
    <w:rsid w:val="00970949"/>
    <w:rsid w:val="009716E8"/>
    <w:rsid w:val="00974D37"/>
    <w:rsid w:val="00974E44"/>
    <w:rsid w:val="00976498"/>
    <w:rsid w:val="009764A4"/>
    <w:rsid w:val="009771AA"/>
    <w:rsid w:val="00980035"/>
    <w:rsid w:val="0098151F"/>
    <w:rsid w:val="009822F0"/>
    <w:rsid w:val="00983A67"/>
    <w:rsid w:val="00983B75"/>
    <w:rsid w:val="009864CF"/>
    <w:rsid w:val="009868D4"/>
    <w:rsid w:val="0099031D"/>
    <w:rsid w:val="00991EB4"/>
    <w:rsid w:val="009928A8"/>
    <w:rsid w:val="00992BAF"/>
    <w:rsid w:val="00992F43"/>
    <w:rsid w:val="00993871"/>
    <w:rsid w:val="00994C2B"/>
    <w:rsid w:val="00994DAF"/>
    <w:rsid w:val="00996B4D"/>
    <w:rsid w:val="00996D0D"/>
    <w:rsid w:val="009A0AA3"/>
    <w:rsid w:val="009A1DE9"/>
    <w:rsid w:val="009A30BF"/>
    <w:rsid w:val="009A3F9F"/>
    <w:rsid w:val="009A4C47"/>
    <w:rsid w:val="009A5E9C"/>
    <w:rsid w:val="009A7525"/>
    <w:rsid w:val="009B06BC"/>
    <w:rsid w:val="009B1169"/>
    <w:rsid w:val="009B1F47"/>
    <w:rsid w:val="009B2B6A"/>
    <w:rsid w:val="009B327E"/>
    <w:rsid w:val="009B339A"/>
    <w:rsid w:val="009B4D71"/>
    <w:rsid w:val="009B56E8"/>
    <w:rsid w:val="009C120F"/>
    <w:rsid w:val="009C29F4"/>
    <w:rsid w:val="009C2F1E"/>
    <w:rsid w:val="009C39BD"/>
    <w:rsid w:val="009D09B9"/>
    <w:rsid w:val="009D7095"/>
    <w:rsid w:val="009E04AF"/>
    <w:rsid w:val="009E4A6F"/>
    <w:rsid w:val="009E5BB5"/>
    <w:rsid w:val="009E69CC"/>
    <w:rsid w:val="009E6D53"/>
    <w:rsid w:val="009F1A2D"/>
    <w:rsid w:val="009F3C62"/>
    <w:rsid w:val="009F419C"/>
    <w:rsid w:val="009F4D68"/>
    <w:rsid w:val="009F6612"/>
    <w:rsid w:val="009F7FB0"/>
    <w:rsid w:val="00A01C17"/>
    <w:rsid w:val="00A0440E"/>
    <w:rsid w:val="00A055A2"/>
    <w:rsid w:val="00A05BDC"/>
    <w:rsid w:val="00A068BD"/>
    <w:rsid w:val="00A079C5"/>
    <w:rsid w:val="00A10993"/>
    <w:rsid w:val="00A10DF5"/>
    <w:rsid w:val="00A1238E"/>
    <w:rsid w:val="00A147BA"/>
    <w:rsid w:val="00A14F25"/>
    <w:rsid w:val="00A15347"/>
    <w:rsid w:val="00A2099A"/>
    <w:rsid w:val="00A20DB6"/>
    <w:rsid w:val="00A21A8D"/>
    <w:rsid w:val="00A21F26"/>
    <w:rsid w:val="00A22E63"/>
    <w:rsid w:val="00A23123"/>
    <w:rsid w:val="00A251BE"/>
    <w:rsid w:val="00A27620"/>
    <w:rsid w:val="00A308A5"/>
    <w:rsid w:val="00A30C20"/>
    <w:rsid w:val="00A31C0C"/>
    <w:rsid w:val="00A32970"/>
    <w:rsid w:val="00A33FAE"/>
    <w:rsid w:val="00A340D8"/>
    <w:rsid w:val="00A35822"/>
    <w:rsid w:val="00A364E0"/>
    <w:rsid w:val="00A3740A"/>
    <w:rsid w:val="00A40786"/>
    <w:rsid w:val="00A410EA"/>
    <w:rsid w:val="00A43F6D"/>
    <w:rsid w:val="00A44AA1"/>
    <w:rsid w:val="00A454A5"/>
    <w:rsid w:val="00A45D07"/>
    <w:rsid w:val="00A47B85"/>
    <w:rsid w:val="00A51B00"/>
    <w:rsid w:val="00A53A4C"/>
    <w:rsid w:val="00A53AA9"/>
    <w:rsid w:val="00A54ADC"/>
    <w:rsid w:val="00A572BD"/>
    <w:rsid w:val="00A57B0B"/>
    <w:rsid w:val="00A60510"/>
    <w:rsid w:val="00A611BB"/>
    <w:rsid w:val="00A64028"/>
    <w:rsid w:val="00A64425"/>
    <w:rsid w:val="00A668FB"/>
    <w:rsid w:val="00A6702B"/>
    <w:rsid w:val="00A67272"/>
    <w:rsid w:val="00A71189"/>
    <w:rsid w:val="00A71D21"/>
    <w:rsid w:val="00A7365E"/>
    <w:rsid w:val="00A73A8A"/>
    <w:rsid w:val="00A74F07"/>
    <w:rsid w:val="00A76084"/>
    <w:rsid w:val="00A805FC"/>
    <w:rsid w:val="00A806A9"/>
    <w:rsid w:val="00A807C8"/>
    <w:rsid w:val="00A80A3A"/>
    <w:rsid w:val="00A81C21"/>
    <w:rsid w:val="00A83966"/>
    <w:rsid w:val="00A83F45"/>
    <w:rsid w:val="00A8400E"/>
    <w:rsid w:val="00A869D6"/>
    <w:rsid w:val="00A86ECE"/>
    <w:rsid w:val="00A90B18"/>
    <w:rsid w:val="00A92883"/>
    <w:rsid w:val="00A92E92"/>
    <w:rsid w:val="00A93090"/>
    <w:rsid w:val="00A933B4"/>
    <w:rsid w:val="00A95AC6"/>
    <w:rsid w:val="00A96972"/>
    <w:rsid w:val="00A9710F"/>
    <w:rsid w:val="00A979CB"/>
    <w:rsid w:val="00A97EBD"/>
    <w:rsid w:val="00AA4277"/>
    <w:rsid w:val="00AA4545"/>
    <w:rsid w:val="00AA6414"/>
    <w:rsid w:val="00AB03B3"/>
    <w:rsid w:val="00AB05A0"/>
    <w:rsid w:val="00AB126F"/>
    <w:rsid w:val="00AB1312"/>
    <w:rsid w:val="00AB179F"/>
    <w:rsid w:val="00AB210D"/>
    <w:rsid w:val="00AB4CFA"/>
    <w:rsid w:val="00AB5225"/>
    <w:rsid w:val="00AB621A"/>
    <w:rsid w:val="00AB65F6"/>
    <w:rsid w:val="00AB77B3"/>
    <w:rsid w:val="00AB7A04"/>
    <w:rsid w:val="00AC14AF"/>
    <w:rsid w:val="00AC25B2"/>
    <w:rsid w:val="00AC375C"/>
    <w:rsid w:val="00AC47B6"/>
    <w:rsid w:val="00AC558B"/>
    <w:rsid w:val="00AC5FEB"/>
    <w:rsid w:val="00AC7AA9"/>
    <w:rsid w:val="00AC7D32"/>
    <w:rsid w:val="00AD0017"/>
    <w:rsid w:val="00AD0343"/>
    <w:rsid w:val="00AD3D71"/>
    <w:rsid w:val="00AD3EA2"/>
    <w:rsid w:val="00AD44DC"/>
    <w:rsid w:val="00AD4609"/>
    <w:rsid w:val="00AD5A5C"/>
    <w:rsid w:val="00AE03CB"/>
    <w:rsid w:val="00AE0EF8"/>
    <w:rsid w:val="00AE3218"/>
    <w:rsid w:val="00AE32D9"/>
    <w:rsid w:val="00AE3B1F"/>
    <w:rsid w:val="00AE43C4"/>
    <w:rsid w:val="00AE4454"/>
    <w:rsid w:val="00AE4958"/>
    <w:rsid w:val="00AE4D65"/>
    <w:rsid w:val="00AE58AB"/>
    <w:rsid w:val="00AE7DF5"/>
    <w:rsid w:val="00AF0141"/>
    <w:rsid w:val="00AF18B3"/>
    <w:rsid w:val="00AF3BA9"/>
    <w:rsid w:val="00AF4CCA"/>
    <w:rsid w:val="00AF7B5E"/>
    <w:rsid w:val="00B00935"/>
    <w:rsid w:val="00B00CF6"/>
    <w:rsid w:val="00B012BD"/>
    <w:rsid w:val="00B014E7"/>
    <w:rsid w:val="00B02A7E"/>
    <w:rsid w:val="00B02D50"/>
    <w:rsid w:val="00B036E5"/>
    <w:rsid w:val="00B06424"/>
    <w:rsid w:val="00B115CA"/>
    <w:rsid w:val="00B122B7"/>
    <w:rsid w:val="00B137EA"/>
    <w:rsid w:val="00B14513"/>
    <w:rsid w:val="00B147C9"/>
    <w:rsid w:val="00B14C02"/>
    <w:rsid w:val="00B159A6"/>
    <w:rsid w:val="00B15ACB"/>
    <w:rsid w:val="00B216C6"/>
    <w:rsid w:val="00B218D2"/>
    <w:rsid w:val="00B21BCE"/>
    <w:rsid w:val="00B221AB"/>
    <w:rsid w:val="00B22735"/>
    <w:rsid w:val="00B22ABA"/>
    <w:rsid w:val="00B233A7"/>
    <w:rsid w:val="00B242AF"/>
    <w:rsid w:val="00B2614F"/>
    <w:rsid w:val="00B26607"/>
    <w:rsid w:val="00B277C0"/>
    <w:rsid w:val="00B30004"/>
    <w:rsid w:val="00B302AC"/>
    <w:rsid w:val="00B314D8"/>
    <w:rsid w:val="00B318AA"/>
    <w:rsid w:val="00B31C8D"/>
    <w:rsid w:val="00B31CB9"/>
    <w:rsid w:val="00B33C46"/>
    <w:rsid w:val="00B34364"/>
    <w:rsid w:val="00B35AA0"/>
    <w:rsid w:val="00B37CD6"/>
    <w:rsid w:val="00B416F4"/>
    <w:rsid w:val="00B41991"/>
    <w:rsid w:val="00B420B0"/>
    <w:rsid w:val="00B42258"/>
    <w:rsid w:val="00B42450"/>
    <w:rsid w:val="00B4287E"/>
    <w:rsid w:val="00B44107"/>
    <w:rsid w:val="00B44C47"/>
    <w:rsid w:val="00B45413"/>
    <w:rsid w:val="00B45891"/>
    <w:rsid w:val="00B46449"/>
    <w:rsid w:val="00B47A89"/>
    <w:rsid w:val="00B47F99"/>
    <w:rsid w:val="00B50B02"/>
    <w:rsid w:val="00B51CB4"/>
    <w:rsid w:val="00B53341"/>
    <w:rsid w:val="00B533D2"/>
    <w:rsid w:val="00B53710"/>
    <w:rsid w:val="00B53D89"/>
    <w:rsid w:val="00B56CDE"/>
    <w:rsid w:val="00B5734F"/>
    <w:rsid w:val="00B575F0"/>
    <w:rsid w:val="00B578B5"/>
    <w:rsid w:val="00B6048A"/>
    <w:rsid w:val="00B61262"/>
    <w:rsid w:val="00B618A0"/>
    <w:rsid w:val="00B61FCE"/>
    <w:rsid w:val="00B629EE"/>
    <w:rsid w:val="00B6426D"/>
    <w:rsid w:val="00B650CF"/>
    <w:rsid w:val="00B661D4"/>
    <w:rsid w:val="00B70D74"/>
    <w:rsid w:val="00B716F8"/>
    <w:rsid w:val="00B71E34"/>
    <w:rsid w:val="00B7326F"/>
    <w:rsid w:val="00B762A9"/>
    <w:rsid w:val="00B76AA9"/>
    <w:rsid w:val="00B77BB6"/>
    <w:rsid w:val="00B81B3B"/>
    <w:rsid w:val="00B82791"/>
    <w:rsid w:val="00B8333A"/>
    <w:rsid w:val="00B83403"/>
    <w:rsid w:val="00B8443F"/>
    <w:rsid w:val="00B924B9"/>
    <w:rsid w:val="00B92BEC"/>
    <w:rsid w:val="00B93D7E"/>
    <w:rsid w:val="00B941EA"/>
    <w:rsid w:val="00B95659"/>
    <w:rsid w:val="00B962C7"/>
    <w:rsid w:val="00BA27AD"/>
    <w:rsid w:val="00BA2A64"/>
    <w:rsid w:val="00BA3DEF"/>
    <w:rsid w:val="00BA5A6A"/>
    <w:rsid w:val="00BA73C4"/>
    <w:rsid w:val="00BB1830"/>
    <w:rsid w:val="00BB3068"/>
    <w:rsid w:val="00BB4A09"/>
    <w:rsid w:val="00BB5B51"/>
    <w:rsid w:val="00BB7E13"/>
    <w:rsid w:val="00BC06E2"/>
    <w:rsid w:val="00BC0FDA"/>
    <w:rsid w:val="00BC1A1F"/>
    <w:rsid w:val="00BC23A2"/>
    <w:rsid w:val="00BC3C3D"/>
    <w:rsid w:val="00BC4CC0"/>
    <w:rsid w:val="00BC509C"/>
    <w:rsid w:val="00BC51EA"/>
    <w:rsid w:val="00BC5F46"/>
    <w:rsid w:val="00BC60F6"/>
    <w:rsid w:val="00BC61E8"/>
    <w:rsid w:val="00BC62F1"/>
    <w:rsid w:val="00BC6F2C"/>
    <w:rsid w:val="00BD3615"/>
    <w:rsid w:val="00BD5BEE"/>
    <w:rsid w:val="00BE0B80"/>
    <w:rsid w:val="00BE0C22"/>
    <w:rsid w:val="00BE2FF1"/>
    <w:rsid w:val="00BE3417"/>
    <w:rsid w:val="00BE37D6"/>
    <w:rsid w:val="00BE3967"/>
    <w:rsid w:val="00BE399F"/>
    <w:rsid w:val="00BE39B5"/>
    <w:rsid w:val="00BE4053"/>
    <w:rsid w:val="00BE4EF1"/>
    <w:rsid w:val="00BE623D"/>
    <w:rsid w:val="00BE6B0E"/>
    <w:rsid w:val="00BE7139"/>
    <w:rsid w:val="00BE7826"/>
    <w:rsid w:val="00BF0581"/>
    <w:rsid w:val="00BF184A"/>
    <w:rsid w:val="00BF19DA"/>
    <w:rsid w:val="00BF39FE"/>
    <w:rsid w:val="00BF3DF7"/>
    <w:rsid w:val="00BF4C07"/>
    <w:rsid w:val="00BF56F8"/>
    <w:rsid w:val="00BF59BE"/>
    <w:rsid w:val="00BF6097"/>
    <w:rsid w:val="00BF7233"/>
    <w:rsid w:val="00BF79D5"/>
    <w:rsid w:val="00C00EE7"/>
    <w:rsid w:val="00C02620"/>
    <w:rsid w:val="00C02977"/>
    <w:rsid w:val="00C02F22"/>
    <w:rsid w:val="00C0330A"/>
    <w:rsid w:val="00C0528C"/>
    <w:rsid w:val="00C062CF"/>
    <w:rsid w:val="00C11D0C"/>
    <w:rsid w:val="00C12F2F"/>
    <w:rsid w:val="00C17281"/>
    <w:rsid w:val="00C20B7F"/>
    <w:rsid w:val="00C23CC1"/>
    <w:rsid w:val="00C23D8A"/>
    <w:rsid w:val="00C23E80"/>
    <w:rsid w:val="00C2463D"/>
    <w:rsid w:val="00C251FE"/>
    <w:rsid w:val="00C26DAF"/>
    <w:rsid w:val="00C2755A"/>
    <w:rsid w:val="00C311CE"/>
    <w:rsid w:val="00C3149C"/>
    <w:rsid w:val="00C315B1"/>
    <w:rsid w:val="00C3210C"/>
    <w:rsid w:val="00C3302E"/>
    <w:rsid w:val="00C33EC6"/>
    <w:rsid w:val="00C35288"/>
    <w:rsid w:val="00C40DA5"/>
    <w:rsid w:val="00C40E1A"/>
    <w:rsid w:val="00C40E4E"/>
    <w:rsid w:val="00C4109D"/>
    <w:rsid w:val="00C4500C"/>
    <w:rsid w:val="00C469CD"/>
    <w:rsid w:val="00C475AC"/>
    <w:rsid w:val="00C501BA"/>
    <w:rsid w:val="00C51315"/>
    <w:rsid w:val="00C5245A"/>
    <w:rsid w:val="00C53170"/>
    <w:rsid w:val="00C536AF"/>
    <w:rsid w:val="00C54290"/>
    <w:rsid w:val="00C54739"/>
    <w:rsid w:val="00C54C6E"/>
    <w:rsid w:val="00C55584"/>
    <w:rsid w:val="00C578FA"/>
    <w:rsid w:val="00C613C2"/>
    <w:rsid w:val="00C61777"/>
    <w:rsid w:val="00C62CE9"/>
    <w:rsid w:val="00C62FE6"/>
    <w:rsid w:val="00C63C78"/>
    <w:rsid w:val="00C63CB0"/>
    <w:rsid w:val="00C65169"/>
    <w:rsid w:val="00C67517"/>
    <w:rsid w:val="00C67AF0"/>
    <w:rsid w:val="00C67B05"/>
    <w:rsid w:val="00C71C0F"/>
    <w:rsid w:val="00C71E43"/>
    <w:rsid w:val="00C72881"/>
    <w:rsid w:val="00C732AA"/>
    <w:rsid w:val="00C75910"/>
    <w:rsid w:val="00C7696B"/>
    <w:rsid w:val="00C76B08"/>
    <w:rsid w:val="00C7722E"/>
    <w:rsid w:val="00C77DF9"/>
    <w:rsid w:val="00C80904"/>
    <w:rsid w:val="00C814BA"/>
    <w:rsid w:val="00C81682"/>
    <w:rsid w:val="00C84016"/>
    <w:rsid w:val="00C849DC"/>
    <w:rsid w:val="00C84BEE"/>
    <w:rsid w:val="00C85093"/>
    <w:rsid w:val="00C867C3"/>
    <w:rsid w:val="00C911B5"/>
    <w:rsid w:val="00C93B6F"/>
    <w:rsid w:val="00C94A69"/>
    <w:rsid w:val="00C9576D"/>
    <w:rsid w:val="00C957B6"/>
    <w:rsid w:val="00C96E2B"/>
    <w:rsid w:val="00CA0823"/>
    <w:rsid w:val="00CA467A"/>
    <w:rsid w:val="00CA473C"/>
    <w:rsid w:val="00CA489A"/>
    <w:rsid w:val="00CA6433"/>
    <w:rsid w:val="00CA6F49"/>
    <w:rsid w:val="00CA752A"/>
    <w:rsid w:val="00CB003D"/>
    <w:rsid w:val="00CB066D"/>
    <w:rsid w:val="00CB0E79"/>
    <w:rsid w:val="00CB110F"/>
    <w:rsid w:val="00CB2835"/>
    <w:rsid w:val="00CB28D1"/>
    <w:rsid w:val="00CB4902"/>
    <w:rsid w:val="00CB566F"/>
    <w:rsid w:val="00CB58B3"/>
    <w:rsid w:val="00CB5ED3"/>
    <w:rsid w:val="00CB67F0"/>
    <w:rsid w:val="00CB68B5"/>
    <w:rsid w:val="00CB6C72"/>
    <w:rsid w:val="00CB7047"/>
    <w:rsid w:val="00CC3991"/>
    <w:rsid w:val="00CC44EE"/>
    <w:rsid w:val="00CC479D"/>
    <w:rsid w:val="00CC4990"/>
    <w:rsid w:val="00CC54FD"/>
    <w:rsid w:val="00CC60E8"/>
    <w:rsid w:val="00CC6CF9"/>
    <w:rsid w:val="00CC72C5"/>
    <w:rsid w:val="00CD05C2"/>
    <w:rsid w:val="00CD1183"/>
    <w:rsid w:val="00CD13E8"/>
    <w:rsid w:val="00CD2906"/>
    <w:rsid w:val="00CD2E8F"/>
    <w:rsid w:val="00CD4432"/>
    <w:rsid w:val="00CD761E"/>
    <w:rsid w:val="00CE062C"/>
    <w:rsid w:val="00CE19C8"/>
    <w:rsid w:val="00CE4C6F"/>
    <w:rsid w:val="00CE5D57"/>
    <w:rsid w:val="00CE607E"/>
    <w:rsid w:val="00CF2EFB"/>
    <w:rsid w:val="00CF42C0"/>
    <w:rsid w:val="00CF4F04"/>
    <w:rsid w:val="00CF5178"/>
    <w:rsid w:val="00CF565F"/>
    <w:rsid w:val="00CF5F28"/>
    <w:rsid w:val="00CF6927"/>
    <w:rsid w:val="00D045AB"/>
    <w:rsid w:val="00D045D2"/>
    <w:rsid w:val="00D05DA4"/>
    <w:rsid w:val="00D05E78"/>
    <w:rsid w:val="00D102D4"/>
    <w:rsid w:val="00D1130C"/>
    <w:rsid w:val="00D11C1D"/>
    <w:rsid w:val="00D12384"/>
    <w:rsid w:val="00D13355"/>
    <w:rsid w:val="00D149C8"/>
    <w:rsid w:val="00D14AE5"/>
    <w:rsid w:val="00D15342"/>
    <w:rsid w:val="00D153C1"/>
    <w:rsid w:val="00D1657F"/>
    <w:rsid w:val="00D17CB4"/>
    <w:rsid w:val="00D20FE9"/>
    <w:rsid w:val="00D21663"/>
    <w:rsid w:val="00D235C6"/>
    <w:rsid w:val="00D23FAD"/>
    <w:rsid w:val="00D24088"/>
    <w:rsid w:val="00D24163"/>
    <w:rsid w:val="00D25618"/>
    <w:rsid w:val="00D25B6D"/>
    <w:rsid w:val="00D25CB9"/>
    <w:rsid w:val="00D270CB"/>
    <w:rsid w:val="00D2732B"/>
    <w:rsid w:val="00D27741"/>
    <w:rsid w:val="00D305EC"/>
    <w:rsid w:val="00D30D81"/>
    <w:rsid w:val="00D30FDA"/>
    <w:rsid w:val="00D32A90"/>
    <w:rsid w:val="00D332F2"/>
    <w:rsid w:val="00D334FE"/>
    <w:rsid w:val="00D3360B"/>
    <w:rsid w:val="00D34310"/>
    <w:rsid w:val="00D3479D"/>
    <w:rsid w:val="00D34B16"/>
    <w:rsid w:val="00D35540"/>
    <w:rsid w:val="00D358A0"/>
    <w:rsid w:val="00D35B85"/>
    <w:rsid w:val="00D37041"/>
    <w:rsid w:val="00D408EA"/>
    <w:rsid w:val="00D4671F"/>
    <w:rsid w:val="00D468AC"/>
    <w:rsid w:val="00D474C2"/>
    <w:rsid w:val="00D525EF"/>
    <w:rsid w:val="00D5329B"/>
    <w:rsid w:val="00D53908"/>
    <w:rsid w:val="00D539C8"/>
    <w:rsid w:val="00D56DE3"/>
    <w:rsid w:val="00D573EA"/>
    <w:rsid w:val="00D579A6"/>
    <w:rsid w:val="00D60D2B"/>
    <w:rsid w:val="00D61D9E"/>
    <w:rsid w:val="00D6300D"/>
    <w:rsid w:val="00D66DC1"/>
    <w:rsid w:val="00D66F25"/>
    <w:rsid w:val="00D66FC5"/>
    <w:rsid w:val="00D679C2"/>
    <w:rsid w:val="00D720F1"/>
    <w:rsid w:val="00D7252F"/>
    <w:rsid w:val="00D774C7"/>
    <w:rsid w:val="00D77EFF"/>
    <w:rsid w:val="00D8088C"/>
    <w:rsid w:val="00D80E85"/>
    <w:rsid w:val="00D8167D"/>
    <w:rsid w:val="00D81873"/>
    <w:rsid w:val="00D81B81"/>
    <w:rsid w:val="00D82C72"/>
    <w:rsid w:val="00D83A2E"/>
    <w:rsid w:val="00D8453D"/>
    <w:rsid w:val="00D84D5F"/>
    <w:rsid w:val="00D854A2"/>
    <w:rsid w:val="00D85BA2"/>
    <w:rsid w:val="00D85DC3"/>
    <w:rsid w:val="00D86957"/>
    <w:rsid w:val="00D86A93"/>
    <w:rsid w:val="00D86AD5"/>
    <w:rsid w:val="00D90A72"/>
    <w:rsid w:val="00D90D40"/>
    <w:rsid w:val="00D91111"/>
    <w:rsid w:val="00D917C7"/>
    <w:rsid w:val="00D91CA2"/>
    <w:rsid w:val="00D92719"/>
    <w:rsid w:val="00D92CB8"/>
    <w:rsid w:val="00D93ED8"/>
    <w:rsid w:val="00D94248"/>
    <w:rsid w:val="00D94B09"/>
    <w:rsid w:val="00D95300"/>
    <w:rsid w:val="00D95D9F"/>
    <w:rsid w:val="00D962ED"/>
    <w:rsid w:val="00D96631"/>
    <w:rsid w:val="00D96B28"/>
    <w:rsid w:val="00D96D87"/>
    <w:rsid w:val="00DA0D97"/>
    <w:rsid w:val="00DA10B6"/>
    <w:rsid w:val="00DA12F4"/>
    <w:rsid w:val="00DA2B04"/>
    <w:rsid w:val="00DA2F07"/>
    <w:rsid w:val="00DA3D6B"/>
    <w:rsid w:val="00DA5DB6"/>
    <w:rsid w:val="00DA5DC0"/>
    <w:rsid w:val="00DA62C1"/>
    <w:rsid w:val="00DA7691"/>
    <w:rsid w:val="00DB0054"/>
    <w:rsid w:val="00DB2595"/>
    <w:rsid w:val="00DB58B0"/>
    <w:rsid w:val="00DB65C0"/>
    <w:rsid w:val="00DB74B1"/>
    <w:rsid w:val="00DB7EE2"/>
    <w:rsid w:val="00DC144A"/>
    <w:rsid w:val="00DC181C"/>
    <w:rsid w:val="00DC2440"/>
    <w:rsid w:val="00DC2A42"/>
    <w:rsid w:val="00DC30F3"/>
    <w:rsid w:val="00DC399F"/>
    <w:rsid w:val="00DC4A83"/>
    <w:rsid w:val="00DC51CE"/>
    <w:rsid w:val="00DC6C22"/>
    <w:rsid w:val="00DD33A0"/>
    <w:rsid w:val="00DD3AC2"/>
    <w:rsid w:val="00DD3C69"/>
    <w:rsid w:val="00DD7653"/>
    <w:rsid w:val="00DD790D"/>
    <w:rsid w:val="00DE0A40"/>
    <w:rsid w:val="00DE1653"/>
    <w:rsid w:val="00DE2D8D"/>
    <w:rsid w:val="00DE4FD7"/>
    <w:rsid w:val="00DE6364"/>
    <w:rsid w:val="00DE6929"/>
    <w:rsid w:val="00DE7D7D"/>
    <w:rsid w:val="00DF53AF"/>
    <w:rsid w:val="00DF5957"/>
    <w:rsid w:val="00DF5D5E"/>
    <w:rsid w:val="00DF655F"/>
    <w:rsid w:val="00DF759D"/>
    <w:rsid w:val="00DF7BAE"/>
    <w:rsid w:val="00E01802"/>
    <w:rsid w:val="00E03648"/>
    <w:rsid w:val="00E05BA4"/>
    <w:rsid w:val="00E05E2A"/>
    <w:rsid w:val="00E05EE8"/>
    <w:rsid w:val="00E06097"/>
    <w:rsid w:val="00E06DA8"/>
    <w:rsid w:val="00E079C3"/>
    <w:rsid w:val="00E07EB2"/>
    <w:rsid w:val="00E10340"/>
    <w:rsid w:val="00E12D3B"/>
    <w:rsid w:val="00E1383C"/>
    <w:rsid w:val="00E13BD4"/>
    <w:rsid w:val="00E15A39"/>
    <w:rsid w:val="00E15DAA"/>
    <w:rsid w:val="00E22C20"/>
    <w:rsid w:val="00E23E08"/>
    <w:rsid w:val="00E23EBF"/>
    <w:rsid w:val="00E24459"/>
    <w:rsid w:val="00E24A65"/>
    <w:rsid w:val="00E252BA"/>
    <w:rsid w:val="00E25F5E"/>
    <w:rsid w:val="00E2648E"/>
    <w:rsid w:val="00E26F87"/>
    <w:rsid w:val="00E3015C"/>
    <w:rsid w:val="00E3127B"/>
    <w:rsid w:val="00E33BEE"/>
    <w:rsid w:val="00E34719"/>
    <w:rsid w:val="00E34AC2"/>
    <w:rsid w:val="00E3606B"/>
    <w:rsid w:val="00E372AE"/>
    <w:rsid w:val="00E40217"/>
    <w:rsid w:val="00E42AE6"/>
    <w:rsid w:val="00E43872"/>
    <w:rsid w:val="00E451F3"/>
    <w:rsid w:val="00E50005"/>
    <w:rsid w:val="00E5009F"/>
    <w:rsid w:val="00E50745"/>
    <w:rsid w:val="00E50972"/>
    <w:rsid w:val="00E54D53"/>
    <w:rsid w:val="00E55372"/>
    <w:rsid w:val="00E554E8"/>
    <w:rsid w:val="00E57523"/>
    <w:rsid w:val="00E61894"/>
    <w:rsid w:val="00E6245C"/>
    <w:rsid w:val="00E62C34"/>
    <w:rsid w:val="00E63140"/>
    <w:rsid w:val="00E633DC"/>
    <w:rsid w:val="00E655E2"/>
    <w:rsid w:val="00E65CD8"/>
    <w:rsid w:val="00E66603"/>
    <w:rsid w:val="00E711EA"/>
    <w:rsid w:val="00E735A9"/>
    <w:rsid w:val="00E73ACF"/>
    <w:rsid w:val="00E73BE4"/>
    <w:rsid w:val="00E74ECC"/>
    <w:rsid w:val="00E75A4D"/>
    <w:rsid w:val="00E776F0"/>
    <w:rsid w:val="00E80640"/>
    <w:rsid w:val="00E8157E"/>
    <w:rsid w:val="00E81736"/>
    <w:rsid w:val="00E81ED7"/>
    <w:rsid w:val="00E821E2"/>
    <w:rsid w:val="00E82586"/>
    <w:rsid w:val="00E826C4"/>
    <w:rsid w:val="00E82F1F"/>
    <w:rsid w:val="00E83A20"/>
    <w:rsid w:val="00E84C24"/>
    <w:rsid w:val="00E84D69"/>
    <w:rsid w:val="00E85C7C"/>
    <w:rsid w:val="00E86488"/>
    <w:rsid w:val="00E90228"/>
    <w:rsid w:val="00E907F4"/>
    <w:rsid w:val="00E92020"/>
    <w:rsid w:val="00E95F4E"/>
    <w:rsid w:val="00E963F7"/>
    <w:rsid w:val="00E96E5D"/>
    <w:rsid w:val="00E9798A"/>
    <w:rsid w:val="00E979F7"/>
    <w:rsid w:val="00EA2D26"/>
    <w:rsid w:val="00EA3000"/>
    <w:rsid w:val="00EA3725"/>
    <w:rsid w:val="00EA3936"/>
    <w:rsid w:val="00EA3CA7"/>
    <w:rsid w:val="00EA513F"/>
    <w:rsid w:val="00EA5961"/>
    <w:rsid w:val="00EA5CD1"/>
    <w:rsid w:val="00EA5E2A"/>
    <w:rsid w:val="00EA6D84"/>
    <w:rsid w:val="00EA7710"/>
    <w:rsid w:val="00EA7D38"/>
    <w:rsid w:val="00EB0731"/>
    <w:rsid w:val="00EB1015"/>
    <w:rsid w:val="00EB2020"/>
    <w:rsid w:val="00EB27D5"/>
    <w:rsid w:val="00EB28E9"/>
    <w:rsid w:val="00EB2E09"/>
    <w:rsid w:val="00EB3567"/>
    <w:rsid w:val="00EB578A"/>
    <w:rsid w:val="00EB6AFD"/>
    <w:rsid w:val="00EB6C7D"/>
    <w:rsid w:val="00EB70E5"/>
    <w:rsid w:val="00EB7C8E"/>
    <w:rsid w:val="00EC02BE"/>
    <w:rsid w:val="00EC1B1A"/>
    <w:rsid w:val="00EC2387"/>
    <w:rsid w:val="00EC35DE"/>
    <w:rsid w:val="00EC53E6"/>
    <w:rsid w:val="00EC543A"/>
    <w:rsid w:val="00EC5594"/>
    <w:rsid w:val="00EC5975"/>
    <w:rsid w:val="00EC6130"/>
    <w:rsid w:val="00EC6766"/>
    <w:rsid w:val="00EC6B27"/>
    <w:rsid w:val="00EC6BF6"/>
    <w:rsid w:val="00EC6F37"/>
    <w:rsid w:val="00EC7AE3"/>
    <w:rsid w:val="00EC7E08"/>
    <w:rsid w:val="00ED0F4E"/>
    <w:rsid w:val="00ED2563"/>
    <w:rsid w:val="00ED2A4C"/>
    <w:rsid w:val="00ED762B"/>
    <w:rsid w:val="00EE067C"/>
    <w:rsid w:val="00EE1275"/>
    <w:rsid w:val="00EE1D7D"/>
    <w:rsid w:val="00EE2031"/>
    <w:rsid w:val="00EE209E"/>
    <w:rsid w:val="00EE2C22"/>
    <w:rsid w:val="00EE2D3E"/>
    <w:rsid w:val="00EE4AC8"/>
    <w:rsid w:val="00EE4C7E"/>
    <w:rsid w:val="00EE7A5E"/>
    <w:rsid w:val="00EF039F"/>
    <w:rsid w:val="00EF11CE"/>
    <w:rsid w:val="00EF13FE"/>
    <w:rsid w:val="00EF2143"/>
    <w:rsid w:val="00EF3159"/>
    <w:rsid w:val="00EF384D"/>
    <w:rsid w:val="00EF4569"/>
    <w:rsid w:val="00EF4F51"/>
    <w:rsid w:val="00EF6960"/>
    <w:rsid w:val="00EF7D4C"/>
    <w:rsid w:val="00F062AC"/>
    <w:rsid w:val="00F068A0"/>
    <w:rsid w:val="00F0745D"/>
    <w:rsid w:val="00F10C63"/>
    <w:rsid w:val="00F115CA"/>
    <w:rsid w:val="00F121CB"/>
    <w:rsid w:val="00F12787"/>
    <w:rsid w:val="00F152AB"/>
    <w:rsid w:val="00F17101"/>
    <w:rsid w:val="00F175F6"/>
    <w:rsid w:val="00F17AC1"/>
    <w:rsid w:val="00F20A25"/>
    <w:rsid w:val="00F20D6E"/>
    <w:rsid w:val="00F22810"/>
    <w:rsid w:val="00F23521"/>
    <w:rsid w:val="00F2359F"/>
    <w:rsid w:val="00F252BF"/>
    <w:rsid w:val="00F25E05"/>
    <w:rsid w:val="00F26F08"/>
    <w:rsid w:val="00F26FA9"/>
    <w:rsid w:val="00F2710C"/>
    <w:rsid w:val="00F274F9"/>
    <w:rsid w:val="00F314CA"/>
    <w:rsid w:val="00F31F31"/>
    <w:rsid w:val="00F34F34"/>
    <w:rsid w:val="00F35350"/>
    <w:rsid w:val="00F35D14"/>
    <w:rsid w:val="00F35E37"/>
    <w:rsid w:val="00F36CF6"/>
    <w:rsid w:val="00F3711D"/>
    <w:rsid w:val="00F37737"/>
    <w:rsid w:val="00F4022D"/>
    <w:rsid w:val="00F40BDA"/>
    <w:rsid w:val="00F41EFE"/>
    <w:rsid w:val="00F4352C"/>
    <w:rsid w:val="00F435DD"/>
    <w:rsid w:val="00F43806"/>
    <w:rsid w:val="00F44A54"/>
    <w:rsid w:val="00F45D25"/>
    <w:rsid w:val="00F46DAC"/>
    <w:rsid w:val="00F46DC9"/>
    <w:rsid w:val="00F47051"/>
    <w:rsid w:val="00F47DFA"/>
    <w:rsid w:val="00F56757"/>
    <w:rsid w:val="00F61830"/>
    <w:rsid w:val="00F61F2B"/>
    <w:rsid w:val="00F632F0"/>
    <w:rsid w:val="00F650C6"/>
    <w:rsid w:val="00F6654F"/>
    <w:rsid w:val="00F670C5"/>
    <w:rsid w:val="00F67E52"/>
    <w:rsid w:val="00F70C8C"/>
    <w:rsid w:val="00F717A9"/>
    <w:rsid w:val="00F72893"/>
    <w:rsid w:val="00F72F75"/>
    <w:rsid w:val="00F747DD"/>
    <w:rsid w:val="00F74885"/>
    <w:rsid w:val="00F808C8"/>
    <w:rsid w:val="00F82F71"/>
    <w:rsid w:val="00F852AC"/>
    <w:rsid w:val="00F87873"/>
    <w:rsid w:val="00F90801"/>
    <w:rsid w:val="00F90FD1"/>
    <w:rsid w:val="00F928A7"/>
    <w:rsid w:val="00F951A8"/>
    <w:rsid w:val="00F973B8"/>
    <w:rsid w:val="00FA074C"/>
    <w:rsid w:val="00FA189F"/>
    <w:rsid w:val="00FA33EA"/>
    <w:rsid w:val="00FA3B31"/>
    <w:rsid w:val="00FA4E6A"/>
    <w:rsid w:val="00FA5EAC"/>
    <w:rsid w:val="00FA6021"/>
    <w:rsid w:val="00FA6E71"/>
    <w:rsid w:val="00FA7041"/>
    <w:rsid w:val="00FB1AF5"/>
    <w:rsid w:val="00FB1F32"/>
    <w:rsid w:val="00FB38C1"/>
    <w:rsid w:val="00FB4EEC"/>
    <w:rsid w:val="00FB5305"/>
    <w:rsid w:val="00FB5539"/>
    <w:rsid w:val="00FB580A"/>
    <w:rsid w:val="00FB5D0B"/>
    <w:rsid w:val="00FB6219"/>
    <w:rsid w:val="00FB6344"/>
    <w:rsid w:val="00FB72A6"/>
    <w:rsid w:val="00FB7550"/>
    <w:rsid w:val="00FC0BB0"/>
    <w:rsid w:val="00FC18C6"/>
    <w:rsid w:val="00FC2AA2"/>
    <w:rsid w:val="00FC2BFC"/>
    <w:rsid w:val="00FC2FEF"/>
    <w:rsid w:val="00FC4E0A"/>
    <w:rsid w:val="00FC507A"/>
    <w:rsid w:val="00FC5721"/>
    <w:rsid w:val="00FC5C21"/>
    <w:rsid w:val="00FC7057"/>
    <w:rsid w:val="00FC7A08"/>
    <w:rsid w:val="00FC7C5E"/>
    <w:rsid w:val="00FD0107"/>
    <w:rsid w:val="00FD0552"/>
    <w:rsid w:val="00FD45B6"/>
    <w:rsid w:val="00FD5B9A"/>
    <w:rsid w:val="00FD5BAB"/>
    <w:rsid w:val="00FD6621"/>
    <w:rsid w:val="00FE2FFD"/>
    <w:rsid w:val="00FE4CEE"/>
    <w:rsid w:val="00FE53AC"/>
    <w:rsid w:val="00FE78F3"/>
    <w:rsid w:val="00FF1535"/>
    <w:rsid w:val="00FF5CDC"/>
    <w:rsid w:val="00FF6FAA"/>
    <w:rsid w:val="00FF771D"/>
    <w:rsid w:val="00FF77B0"/>
    <w:rsid w:val="010417F2"/>
    <w:rsid w:val="012E47B8"/>
    <w:rsid w:val="0248629B"/>
    <w:rsid w:val="02D62521"/>
    <w:rsid w:val="02F32425"/>
    <w:rsid w:val="02F80E73"/>
    <w:rsid w:val="03D02D8F"/>
    <w:rsid w:val="045B28AD"/>
    <w:rsid w:val="04CC51A0"/>
    <w:rsid w:val="052F4FE0"/>
    <w:rsid w:val="054C25C2"/>
    <w:rsid w:val="05A61E08"/>
    <w:rsid w:val="05FF6C86"/>
    <w:rsid w:val="06205981"/>
    <w:rsid w:val="063F1566"/>
    <w:rsid w:val="065005D5"/>
    <w:rsid w:val="06DF1257"/>
    <w:rsid w:val="076777AD"/>
    <w:rsid w:val="07E46B6D"/>
    <w:rsid w:val="082B3DE6"/>
    <w:rsid w:val="082C6866"/>
    <w:rsid w:val="09410BF2"/>
    <w:rsid w:val="09A727D7"/>
    <w:rsid w:val="09C246AC"/>
    <w:rsid w:val="0ACC1C50"/>
    <w:rsid w:val="0B7D6CC1"/>
    <w:rsid w:val="0B825E07"/>
    <w:rsid w:val="0BE46814"/>
    <w:rsid w:val="0D9B6C55"/>
    <w:rsid w:val="0E155023"/>
    <w:rsid w:val="0EAF2215"/>
    <w:rsid w:val="0EB0733A"/>
    <w:rsid w:val="0EF47BDD"/>
    <w:rsid w:val="0F2677DC"/>
    <w:rsid w:val="0F676B31"/>
    <w:rsid w:val="102D186E"/>
    <w:rsid w:val="10416464"/>
    <w:rsid w:val="104A43D1"/>
    <w:rsid w:val="104F5B59"/>
    <w:rsid w:val="11335680"/>
    <w:rsid w:val="121A43A9"/>
    <w:rsid w:val="12263F40"/>
    <w:rsid w:val="12275A6D"/>
    <w:rsid w:val="12A6623A"/>
    <w:rsid w:val="1363387B"/>
    <w:rsid w:val="139A3C57"/>
    <w:rsid w:val="13D010DC"/>
    <w:rsid w:val="13DB1479"/>
    <w:rsid w:val="13DD6903"/>
    <w:rsid w:val="14197400"/>
    <w:rsid w:val="143674F9"/>
    <w:rsid w:val="14BD1ED1"/>
    <w:rsid w:val="14C11476"/>
    <w:rsid w:val="15272E0A"/>
    <w:rsid w:val="15D43C68"/>
    <w:rsid w:val="16120A73"/>
    <w:rsid w:val="161D501D"/>
    <w:rsid w:val="16490ECC"/>
    <w:rsid w:val="16941AEB"/>
    <w:rsid w:val="16A16215"/>
    <w:rsid w:val="16C66CA5"/>
    <w:rsid w:val="16D25C90"/>
    <w:rsid w:val="16E41D38"/>
    <w:rsid w:val="17436DCF"/>
    <w:rsid w:val="179E4E75"/>
    <w:rsid w:val="17F86781"/>
    <w:rsid w:val="18126258"/>
    <w:rsid w:val="18295E2D"/>
    <w:rsid w:val="187A28BC"/>
    <w:rsid w:val="18995ABB"/>
    <w:rsid w:val="18A51C5B"/>
    <w:rsid w:val="18B171E7"/>
    <w:rsid w:val="192C2ABC"/>
    <w:rsid w:val="194727FC"/>
    <w:rsid w:val="19D7669E"/>
    <w:rsid w:val="19EB4508"/>
    <w:rsid w:val="1A512AA8"/>
    <w:rsid w:val="1A5C54CD"/>
    <w:rsid w:val="1B215893"/>
    <w:rsid w:val="1B7D2FAB"/>
    <w:rsid w:val="1BCF4ACD"/>
    <w:rsid w:val="1C707BF6"/>
    <w:rsid w:val="1C9554FE"/>
    <w:rsid w:val="1D243A35"/>
    <w:rsid w:val="1D42117A"/>
    <w:rsid w:val="1DD3548B"/>
    <w:rsid w:val="1DED21D8"/>
    <w:rsid w:val="1ECD780A"/>
    <w:rsid w:val="1EDF2203"/>
    <w:rsid w:val="1F0E3DA5"/>
    <w:rsid w:val="1F751535"/>
    <w:rsid w:val="1F91175B"/>
    <w:rsid w:val="1FD174AC"/>
    <w:rsid w:val="20474F7A"/>
    <w:rsid w:val="204D4BF0"/>
    <w:rsid w:val="20CE49AC"/>
    <w:rsid w:val="21142848"/>
    <w:rsid w:val="21387B11"/>
    <w:rsid w:val="21871A82"/>
    <w:rsid w:val="21B62A2D"/>
    <w:rsid w:val="21ED6B69"/>
    <w:rsid w:val="21F178E6"/>
    <w:rsid w:val="221C433F"/>
    <w:rsid w:val="22531C83"/>
    <w:rsid w:val="22F75C0D"/>
    <w:rsid w:val="230008A0"/>
    <w:rsid w:val="23646FA1"/>
    <w:rsid w:val="23914EAD"/>
    <w:rsid w:val="24705C4B"/>
    <w:rsid w:val="25114177"/>
    <w:rsid w:val="253D0386"/>
    <w:rsid w:val="25753EA7"/>
    <w:rsid w:val="25796D12"/>
    <w:rsid w:val="25B922DF"/>
    <w:rsid w:val="25CE740B"/>
    <w:rsid w:val="25FE0E6B"/>
    <w:rsid w:val="262A0E77"/>
    <w:rsid w:val="262D1AC0"/>
    <w:rsid w:val="26782054"/>
    <w:rsid w:val="26961D3C"/>
    <w:rsid w:val="277566EE"/>
    <w:rsid w:val="27963A83"/>
    <w:rsid w:val="27B65F58"/>
    <w:rsid w:val="27D11439"/>
    <w:rsid w:val="283569FC"/>
    <w:rsid w:val="28843FEB"/>
    <w:rsid w:val="28851819"/>
    <w:rsid w:val="28977DA7"/>
    <w:rsid w:val="289D1BEB"/>
    <w:rsid w:val="290F7096"/>
    <w:rsid w:val="296327B5"/>
    <w:rsid w:val="2A237B08"/>
    <w:rsid w:val="2A853D6E"/>
    <w:rsid w:val="2AD757A2"/>
    <w:rsid w:val="2AF63B4D"/>
    <w:rsid w:val="2B0B4BE7"/>
    <w:rsid w:val="2BB22A91"/>
    <w:rsid w:val="2C60115E"/>
    <w:rsid w:val="2D0F491E"/>
    <w:rsid w:val="2D1D03C3"/>
    <w:rsid w:val="2D3118E5"/>
    <w:rsid w:val="2DD01DB7"/>
    <w:rsid w:val="2F567814"/>
    <w:rsid w:val="2F9761E4"/>
    <w:rsid w:val="300520B3"/>
    <w:rsid w:val="30BA2C1D"/>
    <w:rsid w:val="31DD7194"/>
    <w:rsid w:val="32625045"/>
    <w:rsid w:val="326F4C87"/>
    <w:rsid w:val="327D260B"/>
    <w:rsid w:val="32D8235C"/>
    <w:rsid w:val="333E29A5"/>
    <w:rsid w:val="33702C29"/>
    <w:rsid w:val="33A910F9"/>
    <w:rsid w:val="340E7654"/>
    <w:rsid w:val="342F5CB7"/>
    <w:rsid w:val="343C6800"/>
    <w:rsid w:val="3546708A"/>
    <w:rsid w:val="35675890"/>
    <w:rsid w:val="356D25B1"/>
    <w:rsid w:val="35C91DF7"/>
    <w:rsid w:val="3659235A"/>
    <w:rsid w:val="37035D46"/>
    <w:rsid w:val="37653B33"/>
    <w:rsid w:val="37F62B94"/>
    <w:rsid w:val="38C26B8B"/>
    <w:rsid w:val="390F4EC7"/>
    <w:rsid w:val="39582D3B"/>
    <w:rsid w:val="3A142C28"/>
    <w:rsid w:val="3AA77953"/>
    <w:rsid w:val="3B9A2B83"/>
    <w:rsid w:val="3BBE213E"/>
    <w:rsid w:val="3C0D3CCA"/>
    <w:rsid w:val="3C55424B"/>
    <w:rsid w:val="3CC312AA"/>
    <w:rsid w:val="3D2716AA"/>
    <w:rsid w:val="3D7C6F5B"/>
    <w:rsid w:val="3DB03FCF"/>
    <w:rsid w:val="3DB661A1"/>
    <w:rsid w:val="3E322E2B"/>
    <w:rsid w:val="3E4D2C33"/>
    <w:rsid w:val="3FF5129F"/>
    <w:rsid w:val="3FFF1F17"/>
    <w:rsid w:val="401330BC"/>
    <w:rsid w:val="408A298A"/>
    <w:rsid w:val="40DE4BCA"/>
    <w:rsid w:val="41020D31"/>
    <w:rsid w:val="41120395"/>
    <w:rsid w:val="4140235E"/>
    <w:rsid w:val="41727BF5"/>
    <w:rsid w:val="41B84907"/>
    <w:rsid w:val="420F45A4"/>
    <w:rsid w:val="42AB4289"/>
    <w:rsid w:val="43343A7F"/>
    <w:rsid w:val="43C35313"/>
    <w:rsid w:val="44373F0B"/>
    <w:rsid w:val="44382ECC"/>
    <w:rsid w:val="458853AD"/>
    <w:rsid w:val="46B37EC4"/>
    <w:rsid w:val="47024D09"/>
    <w:rsid w:val="47025BC7"/>
    <w:rsid w:val="47975D88"/>
    <w:rsid w:val="47F37585"/>
    <w:rsid w:val="47FA517A"/>
    <w:rsid w:val="48850D88"/>
    <w:rsid w:val="48EB336F"/>
    <w:rsid w:val="4A3440FD"/>
    <w:rsid w:val="4A353CE7"/>
    <w:rsid w:val="4A3867F9"/>
    <w:rsid w:val="4A3D13BA"/>
    <w:rsid w:val="4A4C36F5"/>
    <w:rsid w:val="4A730797"/>
    <w:rsid w:val="4AB7016F"/>
    <w:rsid w:val="4B347DD6"/>
    <w:rsid w:val="4B5E76F8"/>
    <w:rsid w:val="4C414A72"/>
    <w:rsid w:val="4C442408"/>
    <w:rsid w:val="4C47213F"/>
    <w:rsid w:val="4CF22915"/>
    <w:rsid w:val="4D470992"/>
    <w:rsid w:val="4D9B02D4"/>
    <w:rsid w:val="4E531498"/>
    <w:rsid w:val="4F3B78F6"/>
    <w:rsid w:val="4F9971D1"/>
    <w:rsid w:val="501C612C"/>
    <w:rsid w:val="50584E37"/>
    <w:rsid w:val="506B22B1"/>
    <w:rsid w:val="51406416"/>
    <w:rsid w:val="518A6447"/>
    <w:rsid w:val="51AB3633"/>
    <w:rsid w:val="51C3589D"/>
    <w:rsid w:val="52492C9C"/>
    <w:rsid w:val="52950C44"/>
    <w:rsid w:val="52AC785B"/>
    <w:rsid w:val="538F5DE2"/>
    <w:rsid w:val="54347CF2"/>
    <w:rsid w:val="54762424"/>
    <w:rsid w:val="548573BA"/>
    <w:rsid w:val="54F74598"/>
    <w:rsid w:val="55120D38"/>
    <w:rsid w:val="558A7D8F"/>
    <w:rsid w:val="55D42DCC"/>
    <w:rsid w:val="56031361"/>
    <w:rsid w:val="56107D75"/>
    <w:rsid w:val="56627D77"/>
    <w:rsid w:val="56BF6874"/>
    <w:rsid w:val="573B75AB"/>
    <w:rsid w:val="579D7005"/>
    <w:rsid w:val="57C40A54"/>
    <w:rsid w:val="59E911DA"/>
    <w:rsid w:val="5B6A72E6"/>
    <w:rsid w:val="5B9F28CF"/>
    <w:rsid w:val="5C506285"/>
    <w:rsid w:val="5CEF5EF9"/>
    <w:rsid w:val="5E10517B"/>
    <w:rsid w:val="5ED209B4"/>
    <w:rsid w:val="5EE71671"/>
    <w:rsid w:val="5FBA6129"/>
    <w:rsid w:val="5FE265EA"/>
    <w:rsid w:val="5FF2307A"/>
    <w:rsid w:val="60B57E0A"/>
    <w:rsid w:val="60D134CB"/>
    <w:rsid w:val="61AB00E9"/>
    <w:rsid w:val="62021F5B"/>
    <w:rsid w:val="6235591B"/>
    <w:rsid w:val="627A5FB8"/>
    <w:rsid w:val="63961E6A"/>
    <w:rsid w:val="64AF685A"/>
    <w:rsid w:val="6562503C"/>
    <w:rsid w:val="6566093C"/>
    <w:rsid w:val="657D71F9"/>
    <w:rsid w:val="669470BD"/>
    <w:rsid w:val="66A027AE"/>
    <w:rsid w:val="66AC5B11"/>
    <w:rsid w:val="66C27FDC"/>
    <w:rsid w:val="670E3B02"/>
    <w:rsid w:val="67D4118F"/>
    <w:rsid w:val="68007D3C"/>
    <w:rsid w:val="68237C53"/>
    <w:rsid w:val="682C7937"/>
    <w:rsid w:val="68D82E16"/>
    <w:rsid w:val="68F5441F"/>
    <w:rsid w:val="691E58C2"/>
    <w:rsid w:val="697C5C09"/>
    <w:rsid w:val="69845818"/>
    <w:rsid w:val="6A093AB9"/>
    <w:rsid w:val="6A11392F"/>
    <w:rsid w:val="6A6F6506"/>
    <w:rsid w:val="6A751B3F"/>
    <w:rsid w:val="6AAD6B83"/>
    <w:rsid w:val="6B2B0DFA"/>
    <w:rsid w:val="6B58427B"/>
    <w:rsid w:val="6B727A97"/>
    <w:rsid w:val="6B8B7FC7"/>
    <w:rsid w:val="6C040369"/>
    <w:rsid w:val="6C0A09A9"/>
    <w:rsid w:val="6C843B85"/>
    <w:rsid w:val="6DA511F6"/>
    <w:rsid w:val="6DE47D02"/>
    <w:rsid w:val="6E0A5570"/>
    <w:rsid w:val="6E17721D"/>
    <w:rsid w:val="6E311AD3"/>
    <w:rsid w:val="6E474E78"/>
    <w:rsid w:val="6E7E618A"/>
    <w:rsid w:val="6EE243D6"/>
    <w:rsid w:val="6F56573D"/>
    <w:rsid w:val="6FD110B7"/>
    <w:rsid w:val="70D76851"/>
    <w:rsid w:val="715E7286"/>
    <w:rsid w:val="72343703"/>
    <w:rsid w:val="7266032F"/>
    <w:rsid w:val="72885A9C"/>
    <w:rsid w:val="72A33D37"/>
    <w:rsid w:val="731850CE"/>
    <w:rsid w:val="73796F63"/>
    <w:rsid w:val="73953E80"/>
    <w:rsid w:val="743A0CE0"/>
    <w:rsid w:val="7522667B"/>
    <w:rsid w:val="75691D8C"/>
    <w:rsid w:val="758F4D5F"/>
    <w:rsid w:val="759E4EEE"/>
    <w:rsid w:val="75E92956"/>
    <w:rsid w:val="7679042F"/>
    <w:rsid w:val="76D92B05"/>
    <w:rsid w:val="76E03A8A"/>
    <w:rsid w:val="770A6CDC"/>
    <w:rsid w:val="775C1C10"/>
    <w:rsid w:val="776D6190"/>
    <w:rsid w:val="777A4CF8"/>
    <w:rsid w:val="77D513E0"/>
    <w:rsid w:val="77EF2CB7"/>
    <w:rsid w:val="77FA08C6"/>
    <w:rsid w:val="7808796F"/>
    <w:rsid w:val="781F0F62"/>
    <w:rsid w:val="783378F9"/>
    <w:rsid w:val="786F706E"/>
    <w:rsid w:val="78DF3FE7"/>
    <w:rsid w:val="79C24627"/>
    <w:rsid w:val="79F81F98"/>
    <w:rsid w:val="7A9A7339"/>
    <w:rsid w:val="7AB51851"/>
    <w:rsid w:val="7AFA0336"/>
    <w:rsid w:val="7B3A022B"/>
    <w:rsid w:val="7BAB38D8"/>
    <w:rsid w:val="7BE33ED6"/>
    <w:rsid w:val="7C02799B"/>
    <w:rsid w:val="7C5424EB"/>
    <w:rsid w:val="7C580EEE"/>
    <w:rsid w:val="7C8F37CD"/>
    <w:rsid w:val="7CCE6E26"/>
    <w:rsid w:val="7CFC023E"/>
    <w:rsid w:val="7D0C0C53"/>
    <w:rsid w:val="7D0C7096"/>
    <w:rsid w:val="7D3A3A32"/>
    <w:rsid w:val="7D60253C"/>
    <w:rsid w:val="7E0637EE"/>
    <w:rsid w:val="7E16508C"/>
    <w:rsid w:val="7F0474DE"/>
    <w:rsid w:val="7F67366D"/>
    <w:rsid w:val="7F8366DE"/>
    <w:rsid w:val="7FB34E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58"/>
    <w:qFormat/>
    <w:uiPriority w:val="0"/>
    <w:pPr>
      <w:keepNext/>
      <w:numPr>
        <w:ilvl w:val="0"/>
        <w:numId w:val="1"/>
      </w:numPr>
      <w:jc w:val="center"/>
      <w:outlineLvl w:val="0"/>
    </w:pPr>
    <w:rPr>
      <w:b/>
      <w:bCs/>
      <w:sz w:val="24"/>
      <w:szCs w:val="20"/>
    </w:rPr>
  </w:style>
  <w:style w:type="paragraph" w:styleId="8">
    <w:name w:val="heading 2"/>
    <w:basedOn w:val="1"/>
    <w:next w:val="1"/>
    <w:link w:val="59"/>
    <w:qFormat/>
    <w:uiPriority w:val="0"/>
    <w:pPr>
      <w:keepNext/>
      <w:keepLines/>
      <w:numPr>
        <w:ilvl w:val="1"/>
        <w:numId w:val="1"/>
      </w:numPr>
      <w:spacing w:line="360" w:lineRule="auto"/>
      <w:outlineLvl w:val="1"/>
    </w:pPr>
    <w:rPr>
      <w:rFonts w:ascii="Arial" w:hAnsi="Arial"/>
      <w:b/>
      <w:bCs/>
      <w:sz w:val="24"/>
      <w:szCs w:val="32"/>
    </w:rPr>
  </w:style>
  <w:style w:type="paragraph" w:styleId="9">
    <w:name w:val="heading 3"/>
    <w:basedOn w:val="1"/>
    <w:next w:val="1"/>
    <w:link w:val="60"/>
    <w:qFormat/>
    <w:uiPriority w:val="9"/>
    <w:pPr>
      <w:keepNext/>
      <w:keepLines/>
      <w:numPr>
        <w:ilvl w:val="2"/>
        <w:numId w:val="1"/>
      </w:numPr>
      <w:spacing w:before="260" w:after="260" w:line="416" w:lineRule="auto"/>
      <w:outlineLvl w:val="2"/>
    </w:pPr>
    <w:rPr>
      <w:b/>
      <w:bCs/>
      <w:sz w:val="32"/>
      <w:szCs w:val="32"/>
    </w:rPr>
  </w:style>
  <w:style w:type="paragraph" w:styleId="10">
    <w:name w:val="heading 4"/>
    <w:basedOn w:val="1"/>
    <w:next w:val="1"/>
    <w:link w:val="6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11">
    <w:name w:val="heading 5"/>
    <w:basedOn w:val="1"/>
    <w:next w:val="1"/>
    <w:link w:val="62"/>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12">
    <w:name w:val="heading 6"/>
    <w:basedOn w:val="1"/>
    <w:next w:val="1"/>
    <w:link w:val="63"/>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paragraph" w:styleId="13">
    <w:name w:val="heading 7"/>
    <w:basedOn w:val="1"/>
    <w:next w:val="1"/>
    <w:link w:val="64"/>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14">
    <w:name w:val="heading 8"/>
    <w:basedOn w:val="1"/>
    <w:next w:val="1"/>
    <w:link w:val="65"/>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5">
    <w:name w:val="heading 9"/>
    <w:basedOn w:val="1"/>
    <w:next w:val="1"/>
    <w:link w:val="66"/>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87"/>
    <w:qFormat/>
    <w:uiPriority w:val="99"/>
    <w:pPr>
      <w:ind w:firstLine="420" w:firstLineChars="200"/>
    </w:pPr>
  </w:style>
  <w:style w:type="paragraph" w:styleId="3">
    <w:name w:val="Body Text Indent"/>
    <w:basedOn w:val="1"/>
    <w:next w:val="4"/>
    <w:link w:val="74"/>
    <w:qFormat/>
    <w:uiPriority w:val="0"/>
    <w:pPr>
      <w:spacing w:after="120"/>
      <w:ind w:left="420" w:leftChars="200"/>
    </w:pPr>
  </w:style>
  <w:style w:type="paragraph" w:customStyle="1" w:styleId="4">
    <w:name w:val="font5"/>
    <w:basedOn w:val="1"/>
    <w:qFormat/>
    <w:uiPriority w:val="0"/>
    <w:pPr>
      <w:widowControl/>
      <w:spacing w:before="100" w:beforeLines="0" w:beforeAutospacing="1" w:after="100" w:afterLines="0" w:afterAutospacing="1"/>
      <w:jc w:val="left"/>
    </w:pPr>
    <w:rPr>
      <w:rFonts w:hint="eastAsia" w:ascii="宋体" w:hAnsi="宋体"/>
      <w:kern w:val="0"/>
      <w:sz w:val="18"/>
      <w:szCs w:val="18"/>
    </w:rPr>
  </w:style>
  <w:style w:type="paragraph" w:styleId="5">
    <w:name w:val="Body Text First Indent"/>
    <w:basedOn w:val="6"/>
    <w:link w:val="86"/>
    <w:qFormat/>
    <w:uiPriority w:val="0"/>
    <w:pPr>
      <w:ind w:firstLine="420" w:firstLineChars="100"/>
    </w:pPr>
    <w:rPr>
      <w:rFonts w:asciiTheme="minorHAnsi" w:hAnsiTheme="minorHAnsi" w:eastAsiaTheme="minorEastAsia" w:cstheme="minorBidi"/>
      <w:kern w:val="0"/>
      <w:sz w:val="20"/>
    </w:rPr>
  </w:style>
  <w:style w:type="paragraph" w:styleId="6">
    <w:name w:val="Body Text"/>
    <w:basedOn w:val="1"/>
    <w:link w:val="73"/>
    <w:qFormat/>
    <w:uiPriority w:val="0"/>
    <w:pPr>
      <w:spacing w:after="120"/>
    </w:pPr>
  </w:style>
  <w:style w:type="paragraph" w:styleId="1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7">
    <w:name w:val="Note Heading"/>
    <w:basedOn w:val="1"/>
    <w:next w:val="1"/>
    <w:link w:val="67"/>
    <w:qFormat/>
    <w:uiPriority w:val="0"/>
    <w:pPr>
      <w:spacing w:line="360" w:lineRule="auto"/>
      <w:ind w:firstLine="200" w:firstLineChars="200"/>
      <w:jc w:val="center"/>
    </w:pPr>
    <w:rPr>
      <w:rFonts w:asciiTheme="minorHAnsi" w:hAnsiTheme="minorHAnsi" w:eastAsiaTheme="minorEastAsia" w:cstheme="minorBidi"/>
      <w:kern w:val="0"/>
      <w:sz w:val="20"/>
    </w:rPr>
  </w:style>
  <w:style w:type="paragraph" w:styleId="18">
    <w:name w:val="Normal Indent"/>
    <w:basedOn w:val="1"/>
    <w:link w:val="68"/>
    <w:qFormat/>
    <w:uiPriority w:val="0"/>
    <w:pPr>
      <w:widowControl/>
      <w:ind w:firstLine="420"/>
      <w:jc w:val="left"/>
    </w:pPr>
    <w:rPr>
      <w:kern w:val="0"/>
      <w:sz w:val="20"/>
      <w:szCs w:val="20"/>
    </w:rPr>
  </w:style>
  <w:style w:type="paragraph" w:styleId="19">
    <w:name w:val="Document Map"/>
    <w:basedOn w:val="1"/>
    <w:link w:val="69"/>
    <w:qFormat/>
    <w:uiPriority w:val="0"/>
    <w:pPr>
      <w:shd w:val="clear" w:color="auto" w:fill="000080"/>
    </w:pPr>
  </w:style>
  <w:style w:type="paragraph" w:styleId="20">
    <w:name w:val="annotation text"/>
    <w:basedOn w:val="1"/>
    <w:link w:val="70"/>
    <w:qFormat/>
    <w:uiPriority w:val="99"/>
    <w:pPr>
      <w:jc w:val="left"/>
    </w:pPr>
  </w:style>
  <w:style w:type="paragraph" w:styleId="21">
    <w:name w:val="Salutation"/>
    <w:basedOn w:val="1"/>
    <w:next w:val="1"/>
    <w:link w:val="71"/>
    <w:qFormat/>
    <w:uiPriority w:val="0"/>
    <w:rPr>
      <w:rFonts w:ascii="仿宋_GB2312" w:eastAsia="仿宋_GB2312"/>
      <w:sz w:val="24"/>
    </w:rPr>
  </w:style>
  <w:style w:type="paragraph" w:styleId="22">
    <w:name w:val="Body Text 3"/>
    <w:basedOn w:val="1"/>
    <w:link w:val="72"/>
    <w:qFormat/>
    <w:uiPriority w:val="0"/>
    <w:pPr>
      <w:spacing w:line="360" w:lineRule="auto"/>
      <w:ind w:left="400" w:leftChars="400" w:firstLine="200" w:firstLineChars="200"/>
    </w:pPr>
    <w:rPr>
      <w:rFonts w:asciiTheme="minorHAnsi" w:hAnsiTheme="minorHAnsi" w:eastAsiaTheme="minorEastAsia" w:cstheme="minorBidi"/>
      <w:kern w:val="0"/>
      <w:sz w:val="24"/>
      <w:szCs w:val="16"/>
    </w:rPr>
  </w:style>
  <w:style w:type="paragraph" w:styleId="23">
    <w:name w:val="Block Text"/>
    <w:basedOn w:val="1"/>
    <w:qFormat/>
    <w:uiPriority w:val="0"/>
    <w:pPr>
      <w:ind w:left="1171" w:right="91" w:hanging="1080"/>
    </w:pPr>
    <w:rPr>
      <w:rFonts w:eastAsia="楷体_GB2312"/>
      <w:szCs w:val="20"/>
    </w:rPr>
  </w:style>
  <w:style w:type="paragraph" w:styleId="24">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25">
    <w:name w:val="toc 3"/>
    <w:basedOn w:val="1"/>
    <w:next w:val="1"/>
    <w:unhideWhenUsed/>
    <w:qFormat/>
    <w:uiPriority w:val="39"/>
    <w:pPr>
      <w:adjustRightInd w:val="0"/>
      <w:snapToGrid w:val="0"/>
      <w:spacing w:line="360" w:lineRule="auto"/>
      <w:ind w:left="400" w:leftChars="400"/>
    </w:pPr>
    <w:rPr>
      <w:rFonts w:eastAsiaTheme="minorEastAsia"/>
      <w:b/>
    </w:rPr>
  </w:style>
  <w:style w:type="paragraph" w:styleId="26">
    <w:name w:val="Plain Text"/>
    <w:basedOn w:val="1"/>
    <w:next w:val="1"/>
    <w:link w:val="75"/>
    <w:qFormat/>
    <w:uiPriority w:val="0"/>
    <w:rPr>
      <w:rFonts w:ascii="宋体" w:hAnsi="Courier New" w:cs="Courier New"/>
      <w:szCs w:val="21"/>
    </w:rPr>
  </w:style>
  <w:style w:type="paragraph" w:styleId="27">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8">
    <w:name w:val="Date"/>
    <w:basedOn w:val="1"/>
    <w:next w:val="1"/>
    <w:link w:val="76"/>
    <w:qFormat/>
    <w:uiPriority w:val="0"/>
    <w:rPr>
      <w:sz w:val="24"/>
      <w:szCs w:val="20"/>
    </w:rPr>
  </w:style>
  <w:style w:type="paragraph" w:styleId="29">
    <w:name w:val="Body Text Indent 2"/>
    <w:basedOn w:val="1"/>
    <w:link w:val="57"/>
    <w:qFormat/>
    <w:uiPriority w:val="99"/>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line="360" w:lineRule="auto"/>
    </w:pPr>
    <w:rPr>
      <w:rFonts w:asciiTheme="minorEastAsia" w:hAnsiTheme="minorEastAsia" w:eastAsiaTheme="minorEastAsia"/>
      <w:b/>
      <w:sz w:val="24"/>
      <w:szCs w:val="21"/>
    </w:rPr>
  </w:style>
  <w:style w:type="paragraph" w:styleId="34">
    <w:name w:val="toc 4"/>
    <w:basedOn w:val="1"/>
    <w:next w:val="1"/>
    <w:unhideWhenUsed/>
    <w:qFormat/>
    <w:uiPriority w:val="39"/>
    <w:pPr>
      <w:adjustRightInd w:val="0"/>
      <w:snapToGrid w:val="0"/>
      <w:spacing w:line="360" w:lineRule="auto"/>
      <w:ind w:left="600" w:leftChars="600"/>
    </w:pPr>
    <w:rPr>
      <w:rFonts w:asciiTheme="minorHAnsi" w:hAnsiTheme="minorHAnsi" w:eastAsiaTheme="minorEastAsia" w:cstheme="minorBidi"/>
      <w:b/>
      <w:szCs w:val="22"/>
    </w:rPr>
  </w:style>
  <w:style w:type="paragraph" w:styleId="35">
    <w:name w:val="Subtitle"/>
    <w:basedOn w:val="1"/>
    <w:link w:val="80"/>
    <w:qFormat/>
    <w:uiPriority w:val="0"/>
    <w:pPr>
      <w:widowControl/>
      <w:overflowPunct w:val="0"/>
      <w:autoSpaceDE w:val="0"/>
      <w:autoSpaceDN w:val="0"/>
      <w:adjustRightInd w:val="0"/>
      <w:spacing w:after="60"/>
      <w:jc w:val="right"/>
      <w:textAlignment w:val="baseline"/>
    </w:pPr>
    <w:rPr>
      <w:rFonts w:ascii="Arial" w:hAnsi="Arial" w:eastAsiaTheme="minorEastAsia" w:cstheme="minorBidi"/>
      <w:i/>
      <w:kern w:val="0"/>
      <w:sz w:val="24"/>
      <w:lang w:eastAsia="en-US"/>
    </w:rPr>
  </w:style>
  <w:style w:type="paragraph" w:styleId="36">
    <w:name w:val="List"/>
    <w:basedOn w:val="1"/>
    <w:qFormat/>
    <w:uiPriority w:val="0"/>
    <w:pPr>
      <w:tabs>
        <w:tab w:val="left" w:pos="770"/>
      </w:tabs>
      <w:spacing w:line="360" w:lineRule="auto"/>
      <w:ind w:left="200" w:hanging="200" w:hangingChars="200"/>
    </w:pPr>
    <w:rPr>
      <w:sz w:val="24"/>
    </w:rPr>
  </w:style>
  <w:style w:type="paragraph" w:styleId="37">
    <w:name w:val="toc 6"/>
    <w:basedOn w:val="1"/>
    <w:next w:val="1"/>
    <w:qFormat/>
    <w:uiPriority w:val="39"/>
    <w:pPr>
      <w:ind w:left="2100"/>
    </w:pPr>
    <w:rPr>
      <w:szCs w:val="20"/>
    </w:rPr>
  </w:style>
  <w:style w:type="paragraph" w:styleId="38">
    <w:name w:val="Body Text Indent 3"/>
    <w:basedOn w:val="1"/>
    <w:link w:val="81"/>
    <w:qFormat/>
    <w:uiPriority w:val="0"/>
    <w:pPr>
      <w:spacing w:after="120"/>
      <w:ind w:left="420" w:leftChars="200"/>
    </w:pPr>
    <w:rPr>
      <w:sz w:val="16"/>
      <w:szCs w:val="16"/>
    </w:rPr>
  </w:style>
  <w:style w:type="paragraph" w:styleId="39">
    <w:name w:val="toc 2"/>
    <w:basedOn w:val="1"/>
    <w:next w:val="1"/>
    <w:unhideWhenUsed/>
    <w:qFormat/>
    <w:uiPriority w:val="39"/>
    <w:pPr>
      <w:spacing w:line="360" w:lineRule="auto"/>
      <w:ind w:left="200" w:leftChars="200"/>
    </w:pPr>
    <w:rPr>
      <w:rFonts w:eastAsiaTheme="majorEastAsia"/>
      <w:b/>
    </w:rPr>
  </w:style>
  <w:style w:type="paragraph" w:styleId="4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41">
    <w:name w:val="Body Text 2"/>
    <w:basedOn w:val="1"/>
    <w:link w:val="82"/>
    <w:qFormat/>
    <w:uiPriority w:val="0"/>
    <w:pPr>
      <w:spacing w:after="120" w:line="480" w:lineRule="auto"/>
    </w:pPr>
  </w:style>
  <w:style w:type="paragraph" w:styleId="42">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4">
    <w:name w:val="index 1"/>
    <w:basedOn w:val="1"/>
    <w:next w:val="1"/>
    <w:qFormat/>
    <w:uiPriority w:val="0"/>
    <w:pPr>
      <w:spacing w:line="220" w:lineRule="exact"/>
      <w:jc w:val="center"/>
    </w:pPr>
    <w:rPr>
      <w:rFonts w:ascii="仿宋_GB2312" w:eastAsia="仿宋_GB2312"/>
      <w:szCs w:val="20"/>
    </w:rPr>
  </w:style>
  <w:style w:type="paragraph" w:styleId="45">
    <w:name w:val="Title"/>
    <w:basedOn w:val="1"/>
    <w:link w:val="84"/>
    <w:qFormat/>
    <w:uiPriority w:val="0"/>
    <w:pPr>
      <w:jc w:val="center"/>
      <w:outlineLvl w:val="0"/>
    </w:pPr>
    <w:rPr>
      <w:rFonts w:asciiTheme="minorHAnsi" w:hAnsiTheme="minorHAnsi" w:eastAsiaTheme="minorEastAsia" w:cstheme="minorBidi"/>
      <w:b/>
      <w:sz w:val="32"/>
      <w:szCs w:val="22"/>
    </w:rPr>
  </w:style>
  <w:style w:type="paragraph" w:styleId="46">
    <w:name w:val="annotation subject"/>
    <w:basedOn w:val="20"/>
    <w:next w:val="20"/>
    <w:link w:val="85"/>
    <w:qFormat/>
    <w:uiPriority w:val="0"/>
    <w:rPr>
      <w:b/>
      <w:bCs/>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Colorful List Accent 1"/>
    <w:basedOn w:val="47"/>
    <w:qFormat/>
    <w:uiPriority w:val="0"/>
    <w:rPr>
      <w:kern w:val="2"/>
      <w:sz w:val="21"/>
      <w:szCs w:val="24"/>
    </w:rPr>
    <w:tblPr>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color="FFFFFF" w:themeColor="background1" w:sz="12" w:space="0"/>
        </w:tcBorders>
        <w:shd w:val="clear" w:color="auto" w:fill="9E3A38"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51">
    <w:name w:val="Strong"/>
    <w:qFormat/>
    <w:uiPriority w:val="0"/>
    <w:rPr>
      <w:b/>
      <w:bCs/>
    </w:rPr>
  </w:style>
  <w:style w:type="character" w:styleId="52">
    <w:name w:val="page number"/>
    <w:basedOn w:val="50"/>
    <w:qFormat/>
    <w:uiPriority w:val="99"/>
  </w:style>
  <w:style w:type="character" w:styleId="53">
    <w:name w:val="FollowedHyperlink"/>
    <w:qFormat/>
    <w:uiPriority w:val="99"/>
    <w:rPr>
      <w:color w:val="800080"/>
      <w:u w:val="single"/>
    </w:rPr>
  </w:style>
  <w:style w:type="character" w:styleId="54">
    <w:name w:val="Hyperlink"/>
    <w:qFormat/>
    <w:uiPriority w:val="99"/>
    <w:rPr>
      <w:color w:val="136EC2"/>
      <w:u w:val="single"/>
    </w:rPr>
  </w:style>
  <w:style w:type="character" w:styleId="55">
    <w:name w:val="annotation reference"/>
    <w:qFormat/>
    <w:uiPriority w:val="0"/>
    <w:rPr>
      <w:sz w:val="21"/>
      <w:szCs w:val="21"/>
    </w:rPr>
  </w:style>
  <w:style w:type="paragraph" w:customStyle="1" w:styleId="5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57">
    <w:name w:val="正文文本缩进 2 Char"/>
    <w:basedOn w:val="50"/>
    <w:link w:val="29"/>
    <w:qFormat/>
    <w:uiPriority w:val="99"/>
    <w:rPr>
      <w:rFonts w:ascii="Times New Roman" w:hAnsi="Times New Roman" w:eastAsia="宋体" w:cs="Times New Roman"/>
      <w:szCs w:val="24"/>
    </w:rPr>
  </w:style>
  <w:style w:type="character" w:customStyle="1" w:styleId="58">
    <w:name w:val="标题 1 Char"/>
    <w:basedOn w:val="50"/>
    <w:link w:val="7"/>
    <w:qFormat/>
    <w:uiPriority w:val="9"/>
    <w:rPr>
      <w:rFonts w:ascii="Times New Roman" w:hAnsi="Times New Roman" w:eastAsia="宋体" w:cs="Times New Roman"/>
      <w:b/>
      <w:bCs/>
      <w:sz w:val="24"/>
      <w:szCs w:val="20"/>
    </w:rPr>
  </w:style>
  <w:style w:type="character" w:customStyle="1" w:styleId="59">
    <w:name w:val="标题 2 Char"/>
    <w:basedOn w:val="50"/>
    <w:link w:val="8"/>
    <w:qFormat/>
    <w:uiPriority w:val="0"/>
    <w:rPr>
      <w:rFonts w:ascii="Arial" w:hAnsi="Arial" w:eastAsia="宋体" w:cs="Times New Roman"/>
      <w:b/>
      <w:bCs/>
      <w:sz w:val="24"/>
      <w:szCs w:val="32"/>
    </w:rPr>
  </w:style>
  <w:style w:type="character" w:customStyle="1" w:styleId="60">
    <w:name w:val="标题 3 Char"/>
    <w:basedOn w:val="50"/>
    <w:link w:val="9"/>
    <w:qFormat/>
    <w:uiPriority w:val="9"/>
    <w:rPr>
      <w:rFonts w:ascii="Times New Roman" w:hAnsi="Times New Roman" w:eastAsia="宋体" w:cs="Times New Roman"/>
      <w:b/>
      <w:bCs/>
      <w:sz w:val="32"/>
      <w:szCs w:val="32"/>
    </w:rPr>
  </w:style>
  <w:style w:type="character" w:customStyle="1" w:styleId="61">
    <w:name w:val="标题 4 Char"/>
    <w:basedOn w:val="50"/>
    <w:link w:val="10"/>
    <w:qFormat/>
    <w:uiPriority w:val="0"/>
    <w:rPr>
      <w:rFonts w:ascii="Arial" w:hAnsi="Arial" w:eastAsia="黑体" w:cs="Times New Roman"/>
      <w:b/>
      <w:bCs/>
      <w:sz w:val="28"/>
      <w:szCs w:val="28"/>
    </w:rPr>
  </w:style>
  <w:style w:type="character" w:customStyle="1" w:styleId="62">
    <w:name w:val="标题 5 Char"/>
    <w:basedOn w:val="50"/>
    <w:link w:val="11"/>
    <w:qFormat/>
    <w:uiPriority w:val="0"/>
    <w:rPr>
      <w:rFonts w:ascii="Times New Roman" w:hAnsi="Times New Roman" w:eastAsia="宋体" w:cs="Times New Roman"/>
      <w:b/>
      <w:bCs/>
      <w:kern w:val="0"/>
      <w:sz w:val="28"/>
      <w:szCs w:val="28"/>
    </w:rPr>
  </w:style>
  <w:style w:type="character" w:customStyle="1" w:styleId="63">
    <w:name w:val="标题 6 Char"/>
    <w:basedOn w:val="50"/>
    <w:link w:val="12"/>
    <w:qFormat/>
    <w:uiPriority w:val="0"/>
    <w:rPr>
      <w:rFonts w:ascii="Arial" w:hAnsi="Arial" w:eastAsia="黑体" w:cs="Times New Roman"/>
      <w:b/>
      <w:bCs/>
      <w:kern w:val="0"/>
      <w:sz w:val="24"/>
      <w:szCs w:val="24"/>
    </w:rPr>
  </w:style>
  <w:style w:type="character" w:customStyle="1" w:styleId="64">
    <w:name w:val="标题 7 Char"/>
    <w:basedOn w:val="50"/>
    <w:link w:val="13"/>
    <w:qFormat/>
    <w:uiPriority w:val="0"/>
    <w:rPr>
      <w:rFonts w:ascii="Times New Roman" w:hAnsi="Times New Roman" w:eastAsia="宋体" w:cs="Times New Roman"/>
      <w:b/>
      <w:bCs/>
      <w:kern w:val="0"/>
      <w:sz w:val="24"/>
      <w:szCs w:val="24"/>
    </w:rPr>
  </w:style>
  <w:style w:type="character" w:customStyle="1" w:styleId="65">
    <w:name w:val="标题 8 Char"/>
    <w:basedOn w:val="50"/>
    <w:link w:val="14"/>
    <w:qFormat/>
    <w:uiPriority w:val="0"/>
    <w:rPr>
      <w:rFonts w:ascii="Arial" w:hAnsi="Arial" w:eastAsia="黑体" w:cs="Times New Roman"/>
      <w:kern w:val="0"/>
      <w:sz w:val="24"/>
      <w:szCs w:val="24"/>
    </w:rPr>
  </w:style>
  <w:style w:type="character" w:customStyle="1" w:styleId="66">
    <w:name w:val="标题 9 Char"/>
    <w:basedOn w:val="50"/>
    <w:link w:val="15"/>
    <w:qFormat/>
    <w:uiPriority w:val="0"/>
    <w:rPr>
      <w:rFonts w:ascii="Arial" w:hAnsi="Arial" w:eastAsia="黑体" w:cs="Times New Roman"/>
      <w:kern w:val="0"/>
      <w:szCs w:val="21"/>
    </w:rPr>
  </w:style>
  <w:style w:type="character" w:customStyle="1" w:styleId="67">
    <w:name w:val="注释标题 Char1"/>
    <w:basedOn w:val="50"/>
    <w:link w:val="17"/>
    <w:semiHidden/>
    <w:qFormat/>
    <w:uiPriority w:val="99"/>
    <w:rPr>
      <w:rFonts w:ascii="Times New Roman" w:hAnsi="Times New Roman" w:eastAsia="宋体" w:cs="Times New Roman"/>
      <w:kern w:val="2"/>
      <w:sz w:val="21"/>
      <w:szCs w:val="24"/>
    </w:rPr>
  </w:style>
  <w:style w:type="character" w:customStyle="1" w:styleId="68">
    <w:name w:val="正文缩进 Char"/>
    <w:link w:val="18"/>
    <w:qFormat/>
    <w:locked/>
    <w:uiPriority w:val="0"/>
    <w:rPr>
      <w:rFonts w:ascii="Times New Roman" w:hAnsi="Times New Roman" w:eastAsia="宋体" w:cs="Times New Roman"/>
    </w:rPr>
  </w:style>
  <w:style w:type="character" w:customStyle="1" w:styleId="69">
    <w:name w:val="文档结构图 Char"/>
    <w:basedOn w:val="50"/>
    <w:link w:val="19"/>
    <w:qFormat/>
    <w:uiPriority w:val="0"/>
    <w:rPr>
      <w:rFonts w:ascii="Times New Roman" w:hAnsi="Times New Roman" w:eastAsia="宋体" w:cs="Times New Roman"/>
      <w:szCs w:val="24"/>
      <w:shd w:val="clear" w:color="auto" w:fill="000080"/>
    </w:rPr>
  </w:style>
  <w:style w:type="character" w:customStyle="1" w:styleId="70">
    <w:name w:val="批注文字 Char"/>
    <w:basedOn w:val="50"/>
    <w:link w:val="20"/>
    <w:qFormat/>
    <w:uiPriority w:val="99"/>
    <w:rPr>
      <w:rFonts w:ascii="Times New Roman" w:hAnsi="Times New Roman" w:eastAsia="宋体" w:cs="Times New Roman"/>
      <w:szCs w:val="24"/>
    </w:rPr>
  </w:style>
  <w:style w:type="character" w:customStyle="1" w:styleId="71">
    <w:name w:val="称呼 Char"/>
    <w:basedOn w:val="50"/>
    <w:link w:val="21"/>
    <w:qFormat/>
    <w:uiPriority w:val="0"/>
    <w:rPr>
      <w:rFonts w:ascii="仿宋_GB2312" w:hAnsi="Times New Roman" w:eastAsia="仿宋_GB2312" w:cs="Times New Roman"/>
      <w:sz w:val="24"/>
      <w:szCs w:val="24"/>
    </w:rPr>
  </w:style>
  <w:style w:type="character" w:customStyle="1" w:styleId="72">
    <w:name w:val="正文文本 3 Char1"/>
    <w:basedOn w:val="50"/>
    <w:link w:val="22"/>
    <w:semiHidden/>
    <w:qFormat/>
    <w:uiPriority w:val="99"/>
    <w:rPr>
      <w:rFonts w:ascii="Times New Roman" w:hAnsi="Times New Roman" w:eastAsia="宋体" w:cs="Times New Roman"/>
      <w:kern w:val="2"/>
      <w:sz w:val="16"/>
      <w:szCs w:val="16"/>
    </w:rPr>
  </w:style>
  <w:style w:type="character" w:customStyle="1" w:styleId="73">
    <w:name w:val="正文文本 Char"/>
    <w:basedOn w:val="50"/>
    <w:link w:val="6"/>
    <w:qFormat/>
    <w:uiPriority w:val="0"/>
    <w:rPr>
      <w:rFonts w:ascii="Times New Roman" w:hAnsi="Times New Roman" w:eastAsia="宋体" w:cs="Times New Roman"/>
      <w:szCs w:val="24"/>
    </w:rPr>
  </w:style>
  <w:style w:type="character" w:customStyle="1" w:styleId="74">
    <w:name w:val="正文文本缩进 Char"/>
    <w:basedOn w:val="50"/>
    <w:link w:val="3"/>
    <w:qFormat/>
    <w:uiPriority w:val="0"/>
    <w:rPr>
      <w:rFonts w:ascii="Times New Roman" w:hAnsi="Times New Roman" w:eastAsia="宋体" w:cs="Times New Roman"/>
      <w:szCs w:val="24"/>
    </w:rPr>
  </w:style>
  <w:style w:type="character" w:customStyle="1" w:styleId="75">
    <w:name w:val="纯文本 Char"/>
    <w:basedOn w:val="50"/>
    <w:link w:val="26"/>
    <w:qFormat/>
    <w:uiPriority w:val="0"/>
    <w:rPr>
      <w:rFonts w:ascii="宋体" w:hAnsi="Courier New" w:eastAsia="宋体" w:cs="Courier New"/>
      <w:szCs w:val="21"/>
    </w:rPr>
  </w:style>
  <w:style w:type="character" w:customStyle="1" w:styleId="76">
    <w:name w:val="日期 Char"/>
    <w:basedOn w:val="50"/>
    <w:link w:val="28"/>
    <w:qFormat/>
    <w:uiPriority w:val="0"/>
    <w:rPr>
      <w:rFonts w:ascii="Times New Roman" w:hAnsi="Times New Roman" w:eastAsia="宋体" w:cs="Times New Roman"/>
      <w:sz w:val="24"/>
      <w:szCs w:val="20"/>
    </w:rPr>
  </w:style>
  <w:style w:type="character" w:customStyle="1" w:styleId="77">
    <w:name w:val="批注框文本 Char"/>
    <w:basedOn w:val="50"/>
    <w:link w:val="30"/>
    <w:qFormat/>
    <w:uiPriority w:val="0"/>
    <w:rPr>
      <w:rFonts w:ascii="Times New Roman" w:hAnsi="Times New Roman" w:eastAsia="宋体" w:cs="Times New Roman"/>
      <w:sz w:val="18"/>
      <w:szCs w:val="18"/>
    </w:rPr>
  </w:style>
  <w:style w:type="character" w:customStyle="1" w:styleId="78">
    <w:name w:val="页脚 Char"/>
    <w:basedOn w:val="50"/>
    <w:link w:val="31"/>
    <w:qFormat/>
    <w:uiPriority w:val="99"/>
    <w:rPr>
      <w:rFonts w:ascii="Times New Roman" w:hAnsi="Times New Roman" w:eastAsia="宋体" w:cs="Times New Roman"/>
      <w:sz w:val="18"/>
      <w:szCs w:val="18"/>
    </w:rPr>
  </w:style>
  <w:style w:type="character" w:customStyle="1" w:styleId="79">
    <w:name w:val="页眉 Char"/>
    <w:basedOn w:val="50"/>
    <w:link w:val="32"/>
    <w:qFormat/>
    <w:uiPriority w:val="99"/>
    <w:rPr>
      <w:rFonts w:ascii="Times New Roman" w:hAnsi="Times New Roman" w:eastAsia="宋体" w:cs="Times New Roman"/>
      <w:sz w:val="18"/>
      <w:szCs w:val="18"/>
    </w:rPr>
  </w:style>
  <w:style w:type="character" w:customStyle="1" w:styleId="80">
    <w:name w:val="副标题 Char"/>
    <w:basedOn w:val="50"/>
    <w:link w:val="35"/>
    <w:qFormat/>
    <w:uiPriority w:val="11"/>
    <w:rPr>
      <w:rFonts w:eastAsia="宋体" w:asciiTheme="majorHAnsi" w:hAnsiTheme="majorHAnsi" w:cstheme="majorBidi"/>
      <w:b/>
      <w:bCs/>
      <w:kern w:val="28"/>
      <w:sz w:val="32"/>
      <w:szCs w:val="32"/>
    </w:rPr>
  </w:style>
  <w:style w:type="character" w:customStyle="1" w:styleId="81">
    <w:name w:val="正文文本缩进 3 Char"/>
    <w:basedOn w:val="50"/>
    <w:link w:val="38"/>
    <w:qFormat/>
    <w:uiPriority w:val="0"/>
    <w:rPr>
      <w:rFonts w:ascii="Times New Roman" w:hAnsi="Times New Roman" w:eastAsia="宋体" w:cs="Times New Roman"/>
      <w:sz w:val="16"/>
      <w:szCs w:val="16"/>
    </w:rPr>
  </w:style>
  <w:style w:type="character" w:customStyle="1" w:styleId="82">
    <w:name w:val="正文文本 2 Char"/>
    <w:basedOn w:val="50"/>
    <w:link w:val="41"/>
    <w:qFormat/>
    <w:uiPriority w:val="0"/>
    <w:rPr>
      <w:rFonts w:ascii="Times New Roman" w:hAnsi="Times New Roman" w:eastAsia="宋体" w:cs="Times New Roman"/>
      <w:szCs w:val="24"/>
    </w:rPr>
  </w:style>
  <w:style w:type="character" w:customStyle="1" w:styleId="83">
    <w:name w:val="HTML 预设格式 Char"/>
    <w:basedOn w:val="50"/>
    <w:link w:val="42"/>
    <w:qFormat/>
    <w:uiPriority w:val="0"/>
    <w:rPr>
      <w:rFonts w:ascii="Arial" w:hAnsi="Arial" w:eastAsia="宋体" w:cs="Arial"/>
      <w:kern w:val="0"/>
      <w:sz w:val="24"/>
      <w:szCs w:val="24"/>
    </w:rPr>
  </w:style>
  <w:style w:type="character" w:customStyle="1" w:styleId="84">
    <w:name w:val="标题 Char"/>
    <w:link w:val="45"/>
    <w:qFormat/>
    <w:uiPriority w:val="10"/>
    <w:rPr>
      <w:b/>
      <w:sz w:val="32"/>
    </w:rPr>
  </w:style>
  <w:style w:type="character" w:customStyle="1" w:styleId="85">
    <w:name w:val="批注主题 Char"/>
    <w:basedOn w:val="70"/>
    <w:link w:val="46"/>
    <w:qFormat/>
    <w:uiPriority w:val="0"/>
    <w:rPr>
      <w:rFonts w:ascii="Times New Roman" w:hAnsi="Times New Roman" w:eastAsia="宋体" w:cs="Times New Roman"/>
      <w:b/>
      <w:bCs/>
      <w:szCs w:val="24"/>
    </w:rPr>
  </w:style>
  <w:style w:type="character" w:customStyle="1" w:styleId="86">
    <w:name w:val="正文首行缩进 Char1"/>
    <w:basedOn w:val="73"/>
    <w:link w:val="5"/>
    <w:semiHidden/>
    <w:qFormat/>
    <w:uiPriority w:val="99"/>
    <w:rPr>
      <w:rFonts w:ascii="Times New Roman" w:hAnsi="Times New Roman" w:eastAsia="宋体" w:cs="Times New Roman"/>
      <w:kern w:val="2"/>
      <w:sz w:val="21"/>
      <w:szCs w:val="24"/>
    </w:rPr>
  </w:style>
  <w:style w:type="character" w:customStyle="1" w:styleId="87">
    <w:name w:val="正文首行缩进 2 Char1"/>
    <w:link w:val="2"/>
    <w:qFormat/>
    <w:uiPriority w:val="99"/>
    <w:rPr>
      <w:rFonts w:ascii="Times New Roman" w:hAnsi="Times New Roman" w:eastAsia="宋体" w:cs="Times New Roman"/>
      <w:kern w:val="2"/>
      <w:sz w:val="21"/>
      <w:szCs w:val="24"/>
    </w:rPr>
  </w:style>
  <w:style w:type="paragraph" w:customStyle="1" w:styleId="88">
    <w:name w:val="表格内容"/>
    <w:basedOn w:val="6"/>
    <w:qFormat/>
    <w:uiPriority w:val="0"/>
    <w:pPr>
      <w:suppressLineNumbers/>
      <w:suppressAutoHyphens/>
      <w:jc w:val="left"/>
    </w:pPr>
    <w:rPr>
      <w:rFonts w:cs="Tahoma"/>
      <w:kern w:val="0"/>
      <w:sz w:val="24"/>
    </w:rPr>
  </w:style>
  <w:style w:type="paragraph" w:customStyle="1" w:styleId="89">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90">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91">
    <w:name w:val="Char Char Char"/>
    <w:basedOn w:val="1"/>
    <w:qFormat/>
    <w:uiPriority w:val="0"/>
    <w:rPr>
      <w:rFonts w:ascii="宋体" w:hAnsi="宋体"/>
      <w:b/>
      <w:sz w:val="28"/>
      <w:szCs w:val="28"/>
    </w:rPr>
  </w:style>
  <w:style w:type="paragraph" w:customStyle="1" w:styleId="9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3">
    <w:name w:val="Char"/>
    <w:basedOn w:val="1"/>
    <w:qFormat/>
    <w:uiPriority w:val="0"/>
    <w:pPr>
      <w:tabs>
        <w:tab w:val="left" w:pos="360"/>
      </w:tabs>
      <w:ind w:left="360" w:hanging="360" w:hangingChars="200"/>
    </w:pPr>
    <w:rPr>
      <w:sz w:val="24"/>
    </w:rPr>
  </w:style>
  <w:style w:type="paragraph" w:customStyle="1" w:styleId="94">
    <w:name w:val="样式1"/>
    <w:basedOn w:val="1"/>
    <w:link w:val="95"/>
    <w:qFormat/>
    <w:uiPriority w:val="0"/>
    <w:pPr>
      <w:tabs>
        <w:tab w:val="left" w:pos="360"/>
      </w:tabs>
      <w:adjustRightInd w:val="0"/>
      <w:ind w:left="360" w:hanging="360"/>
      <w:textAlignment w:val="baseline"/>
    </w:pPr>
    <w:rPr>
      <w:rFonts w:ascii="宋体" w:hAnsi="宋体"/>
      <w:kern w:val="0"/>
      <w:szCs w:val="21"/>
    </w:rPr>
  </w:style>
  <w:style w:type="character" w:customStyle="1" w:styleId="95">
    <w:name w:val="样式1 Char Char"/>
    <w:link w:val="94"/>
    <w:qFormat/>
    <w:uiPriority w:val="0"/>
    <w:rPr>
      <w:rFonts w:ascii="宋体" w:hAnsi="宋体" w:eastAsia="宋体" w:cs="Times New Roman"/>
      <w:kern w:val="0"/>
      <w:szCs w:val="21"/>
    </w:rPr>
  </w:style>
  <w:style w:type="character" w:customStyle="1" w:styleId="96">
    <w:name w:val="p0 Char"/>
    <w:link w:val="97"/>
    <w:qFormat/>
    <w:uiPriority w:val="0"/>
    <w:rPr>
      <w:rFonts w:eastAsia="宋体"/>
      <w:szCs w:val="21"/>
    </w:rPr>
  </w:style>
  <w:style w:type="paragraph" w:customStyle="1" w:styleId="97">
    <w:name w:val="p0"/>
    <w:basedOn w:val="1"/>
    <w:link w:val="96"/>
    <w:qFormat/>
    <w:uiPriority w:val="0"/>
    <w:pPr>
      <w:widowControl/>
    </w:pPr>
    <w:rPr>
      <w:rFonts w:asciiTheme="minorHAnsi" w:hAnsiTheme="minorHAnsi" w:cstheme="minorBidi"/>
      <w:szCs w:val="21"/>
    </w:rPr>
  </w:style>
  <w:style w:type="paragraph" w:customStyle="1" w:styleId="98">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99">
    <w:name w:val="Char Char1 Char Char Char Char Char1 Char Char Char Char"/>
    <w:basedOn w:val="19"/>
    <w:qFormat/>
    <w:uiPriority w:val="0"/>
    <w:rPr>
      <w:rFonts w:ascii="Tahoma" w:hAnsi="Tahoma"/>
    </w:rPr>
  </w:style>
  <w:style w:type="paragraph" w:customStyle="1" w:styleId="10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0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2">
    <w:name w:val="1"/>
    <w:basedOn w:val="1"/>
    <w:qFormat/>
    <w:uiPriority w:val="0"/>
    <w:pPr>
      <w:spacing w:afterLines="50" w:line="360" w:lineRule="auto"/>
    </w:pPr>
    <w:rPr>
      <w:rFonts w:ascii="宋体" w:hAnsi="宋体"/>
      <w:b/>
      <w:sz w:val="30"/>
      <w:szCs w:val="21"/>
    </w:rPr>
  </w:style>
  <w:style w:type="paragraph" w:customStyle="1" w:styleId="103">
    <w:name w:val="样式 标题 2 + 宋体 五号 行距: 单倍行距"/>
    <w:basedOn w:val="8"/>
    <w:qFormat/>
    <w:uiPriority w:val="0"/>
    <w:pPr>
      <w:numPr>
        <w:ilvl w:val="0"/>
        <w:numId w:val="0"/>
      </w:num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04">
    <w:name w:val="标题 1 +"/>
    <w:basedOn w:val="7"/>
    <w:next w:val="1"/>
    <w:qFormat/>
    <w:uiPriority w:val="0"/>
    <w:pPr>
      <w:keepLines/>
      <w:numPr>
        <w:numId w:val="0"/>
      </w:numPr>
      <w:spacing w:line="600" w:lineRule="auto"/>
    </w:pPr>
    <w:rPr>
      <w:rFonts w:eastAsia="黑体"/>
      <w:kern w:val="0"/>
      <w:sz w:val="32"/>
      <w:szCs w:val="32"/>
    </w:rPr>
  </w:style>
  <w:style w:type="paragraph" w:customStyle="1" w:styleId="105">
    <w:name w:val="样式 标题 2 + Times New Roman 四号 非加粗 段前: 5 磅 段后: 0 磅 行距: 固定值 20..."/>
    <w:basedOn w:val="8"/>
    <w:qFormat/>
    <w:uiPriority w:val="0"/>
    <w:pPr>
      <w:numPr>
        <w:ilvl w:val="0"/>
        <w:numId w:val="0"/>
      </w:numPr>
      <w:spacing w:before="100" w:line="400" w:lineRule="exact"/>
    </w:pPr>
    <w:rPr>
      <w:rFonts w:ascii="Times New Roman" w:hAnsi="Times New Roman" w:eastAsia="黑体"/>
      <w:b w:val="0"/>
      <w:bCs w:val="0"/>
      <w:sz w:val="28"/>
      <w:szCs w:val="20"/>
    </w:rPr>
  </w:style>
  <w:style w:type="paragraph" w:customStyle="1" w:styleId="106">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07">
    <w:name w:val="Char1 Char Char Char 字元 Char Char 字元 Char 字元 Char1 Char Char Char"/>
    <w:basedOn w:val="1"/>
    <w:qFormat/>
    <w:uiPriority w:val="0"/>
    <w:rPr>
      <w:szCs w:val="20"/>
    </w:rPr>
  </w:style>
  <w:style w:type="paragraph" w:customStyle="1" w:styleId="108">
    <w:name w:val="p16"/>
    <w:basedOn w:val="1"/>
    <w:qFormat/>
    <w:uiPriority w:val="0"/>
    <w:pPr>
      <w:widowControl/>
      <w:jc w:val="left"/>
    </w:pPr>
    <w:rPr>
      <w:kern w:val="0"/>
      <w:szCs w:val="21"/>
    </w:rPr>
  </w:style>
  <w:style w:type="paragraph" w:customStyle="1" w:styleId="109">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2">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13">
    <w:name w:val="Char Char Char1 Char"/>
    <w:basedOn w:val="1"/>
    <w:qFormat/>
    <w:uiPriority w:val="0"/>
    <w:pPr>
      <w:tabs>
        <w:tab w:val="left" w:pos="360"/>
      </w:tabs>
      <w:snapToGrid w:val="0"/>
      <w:spacing w:line="360" w:lineRule="auto"/>
    </w:pPr>
    <w:rPr>
      <w:rFonts w:eastAsia="仿宋_GB2312" w:cs="宋体"/>
      <w:sz w:val="24"/>
    </w:rPr>
  </w:style>
  <w:style w:type="paragraph" w:styleId="114">
    <w:name w:val="List Paragraph"/>
    <w:basedOn w:val="1"/>
    <w:link w:val="115"/>
    <w:qFormat/>
    <w:uiPriority w:val="34"/>
    <w:pPr>
      <w:ind w:firstLine="420" w:firstLineChars="200"/>
    </w:pPr>
  </w:style>
  <w:style w:type="character" w:customStyle="1" w:styleId="115">
    <w:name w:val="列出段落 Char1"/>
    <w:link w:val="114"/>
    <w:qFormat/>
    <w:uiPriority w:val="34"/>
    <w:rPr>
      <w:rFonts w:ascii="Times New Roman" w:hAnsi="Times New Roman" w:eastAsia="宋体" w:cs="Times New Roman"/>
      <w:szCs w:val="24"/>
    </w:rPr>
  </w:style>
  <w:style w:type="character" w:customStyle="1" w:styleId="116">
    <w:name w:val="fontstyle01"/>
    <w:basedOn w:val="50"/>
    <w:qFormat/>
    <w:uiPriority w:val="0"/>
    <w:rPr>
      <w:rFonts w:hint="eastAsia" w:ascii="宋体" w:hAnsi="宋体" w:eastAsia="宋体"/>
      <w:color w:val="000000"/>
      <w:sz w:val="24"/>
      <w:szCs w:val="24"/>
    </w:rPr>
  </w:style>
  <w:style w:type="character" w:customStyle="1" w:styleId="117">
    <w:name w:val="fontstyle11"/>
    <w:basedOn w:val="50"/>
    <w:qFormat/>
    <w:uiPriority w:val="0"/>
    <w:rPr>
      <w:rFonts w:hint="default" w:ascii="TimesNewRomanPSMT" w:hAnsi="TimesNewRomanPSMT"/>
      <w:color w:val="000000"/>
      <w:sz w:val="24"/>
      <w:szCs w:val="24"/>
    </w:rPr>
  </w:style>
  <w:style w:type="paragraph" w:customStyle="1" w:styleId="118">
    <w:name w:val="TOC 标题1"/>
    <w:basedOn w:val="7"/>
    <w:next w:val="1"/>
    <w:semiHidden/>
    <w:unhideWhenUsed/>
    <w:qFormat/>
    <w:uiPriority w:val="39"/>
    <w:pPr>
      <w:keepLines/>
      <w:widowControl/>
      <w:numPr>
        <w:numId w:val="0"/>
      </w:numPr>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19">
    <w:name w:val="fontstyle21"/>
    <w:basedOn w:val="50"/>
    <w:qFormat/>
    <w:uiPriority w:val="0"/>
    <w:rPr>
      <w:rFonts w:hint="eastAsia" w:ascii="宋体" w:hAnsi="宋体" w:eastAsia="宋体"/>
      <w:color w:val="993300"/>
      <w:sz w:val="24"/>
      <w:szCs w:val="24"/>
    </w:rPr>
  </w:style>
  <w:style w:type="character" w:customStyle="1" w:styleId="120">
    <w:name w:val="fontstyle31"/>
    <w:basedOn w:val="50"/>
    <w:qFormat/>
    <w:uiPriority w:val="0"/>
    <w:rPr>
      <w:rFonts w:hint="default" w:ascii="Arial" w:hAnsi="Arial" w:cs="Arial"/>
      <w:color w:val="993300"/>
      <w:sz w:val="24"/>
      <w:szCs w:val="24"/>
    </w:rPr>
  </w:style>
  <w:style w:type="character" w:customStyle="1" w:styleId="121">
    <w:name w:val="标题 Char1"/>
    <w:basedOn w:val="50"/>
    <w:qFormat/>
    <w:uiPriority w:val="0"/>
    <w:rPr>
      <w:rFonts w:eastAsia="宋体" w:asciiTheme="majorHAnsi" w:hAnsiTheme="majorHAnsi" w:cstheme="majorBidi"/>
      <w:b/>
      <w:bCs/>
      <w:sz w:val="32"/>
      <w:szCs w:val="32"/>
    </w:rPr>
  </w:style>
  <w:style w:type="character" w:customStyle="1" w:styleId="122">
    <w:name w:val="批注文字 Char1"/>
    <w:qFormat/>
    <w:uiPriority w:val="99"/>
    <w:rPr>
      <w:szCs w:val="24"/>
    </w:rPr>
  </w:style>
  <w:style w:type="paragraph" w:customStyle="1" w:styleId="123">
    <w:name w:val="正文A++"/>
    <w:basedOn w:val="1"/>
    <w:qFormat/>
    <w:uiPriority w:val="0"/>
    <w:pPr>
      <w:autoSpaceDE w:val="0"/>
      <w:autoSpaceDN w:val="0"/>
      <w:adjustRightInd w:val="0"/>
      <w:snapToGrid w:val="0"/>
      <w:spacing w:after="50" w:line="360" w:lineRule="auto"/>
      <w:ind w:firstLine="480" w:firstLineChars="200"/>
      <w:jc w:val="left"/>
    </w:pPr>
    <w:rPr>
      <w:rFonts w:ascii="宋体" w:hAnsi="宋体" w:cs="宋体"/>
      <w:kern w:val="0"/>
      <w:sz w:val="24"/>
    </w:rPr>
  </w:style>
  <w:style w:type="character" w:customStyle="1" w:styleId="124">
    <w:name w:val="标题 1 Char1"/>
    <w:basedOn w:val="50"/>
    <w:qFormat/>
    <w:uiPriority w:val="0"/>
    <w:rPr>
      <w:rFonts w:ascii="幼圆" w:hAnsi="Symbol" w:eastAsia="幼圆" w:cs="Times New Roman"/>
      <w:b/>
      <w:bCs/>
      <w:spacing w:val="40"/>
      <w:sz w:val="28"/>
      <w:szCs w:val="44"/>
    </w:rPr>
  </w:style>
  <w:style w:type="character" w:customStyle="1" w:styleId="125">
    <w:name w:val="页眉 字符2"/>
    <w:basedOn w:val="50"/>
    <w:qFormat/>
    <w:uiPriority w:val="0"/>
    <w:rPr>
      <w:rFonts w:ascii="Times New Roman" w:hAnsi="Times New Roman" w:eastAsia="宋体" w:cs="Times New Roman"/>
      <w:sz w:val="18"/>
      <w:szCs w:val="18"/>
    </w:rPr>
  </w:style>
  <w:style w:type="character" w:customStyle="1" w:styleId="126">
    <w:name w:val="页脚 字符2"/>
    <w:basedOn w:val="50"/>
    <w:qFormat/>
    <w:uiPriority w:val="99"/>
    <w:rPr>
      <w:rFonts w:ascii="Times New Roman" w:hAnsi="Times New Roman" w:eastAsia="宋体" w:cs="Times New Roman"/>
      <w:sz w:val="18"/>
      <w:szCs w:val="18"/>
    </w:rPr>
  </w:style>
  <w:style w:type="character" w:customStyle="1" w:styleId="127">
    <w:name w:val="样式 标题 2正文二级标题PIM2H2Heading 2 HiddenHeading 2 CCBSheading 2...2 Char"/>
    <w:link w:val="128"/>
    <w:qFormat/>
    <w:locked/>
    <w:uiPriority w:val="0"/>
    <w:rPr>
      <w:rFonts w:ascii="Arial" w:hAnsi="Arial"/>
      <w:bCs/>
      <w:color w:val="003300"/>
      <w:sz w:val="30"/>
      <w:szCs w:val="24"/>
    </w:rPr>
  </w:style>
  <w:style w:type="paragraph" w:customStyle="1" w:styleId="128">
    <w:name w:val="样式 标题 2正文二级标题PIM2H2Heading 2 HiddenHeading 2 CCBSheading 2...2"/>
    <w:basedOn w:val="8"/>
    <w:link w:val="127"/>
    <w:qFormat/>
    <w:uiPriority w:val="0"/>
    <w:pPr>
      <w:widowControl/>
      <w:numPr>
        <w:ilvl w:val="0"/>
        <w:numId w:val="0"/>
      </w:numPr>
      <w:tabs>
        <w:tab w:val="left" w:pos="567"/>
      </w:tabs>
      <w:spacing w:before="260" w:after="260" w:line="416" w:lineRule="auto"/>
      <w:ind w:left="567" w:hanging="567"/>
      <w:jc w:val="left"/>
    </w:pPr>
    <w:rPr>
      <w:rFonts w:eastAsiaTheme="minorEastAsia" w:cstheme="minorBidi"/>
      <w:b w:val="0"/>
      <w:color w:val="003300"/>
      <w:kern w:val="0"/>
      <w:sz w:val="30"/>
      <w:szCs w:val="24"/>
    </w:rPr>
  </w:style>
  <w:style w:type="character" w:customStyle="1" w:styleId="129">
    <w:name w:val="注释标题 Char"/>
    <w:qFormat/>
    <w:uiPriority w:val="0"/>
    <w:rPr>
      <w:szCs w:val="24"/>
    </w:rPr>
  </w:style>
  <w:style w:type="character" w:customStyle="1" w:styleId="130">
    <w:name w:val="标题5 Char"/>
    <w:link w:val="131"/>
    <w:qFormat/>
    <w:locked/>
    <w:uiPriority w:val="0"/>
    <w:rPr>
      <w:rFonts w:ascii="宋体" w:hAnsi="宋体" w:eastAsia="黑体"/>
      <w:b/>
      <w:kern w:val="44"/>
      <w:sz w:val="24"/>
      <w:szCs w:val="24"/>
    </w:rPr>
  </w:style>
  <w:style w:type="paragraph" w:customStyle="1" w:styleId="131">
    <w:name w:val="标题5"/>
    <w:basedOn w:val="11"/>
    <w:next w:val="2"/>
    <w:link w:val="130"/>
    <w:qFormat/>
    <w:uiPriority w:val="0"/>
    <w:pPr>
      <w:numPr>
        <w:ilvl w:val="0"/>
        <w:numId w:val="0"/>
      </w:numPr>
      <w:tabs>
        <w:tab w:val="left" w:pos="432"/>
        <w:tab w:val="left" w:pos="1008"/>
      </w:tabs>
      <w:adjustRightInd/>
      <w:spacing w:before="0" w:after="0" w:line="360" w:lineRule="auto"/>
      <w:ind w:left="1008" w:right="210" w:hanging="1008"/>
      <w:jc w:val="both"/>
      <w:textAlignment w:val="auto"/>
    </w:pPr>
    <w:rPr>
      <w:rFonts w:ascii="宋体" w:hAnsi="宋体" w:eastAsia="黑体" w:cstheme="minorBidi"/>
      <w:bCs w:val="0"/>
      <w:kern w:val="44"/>
      <w:sz w:val="24"/>
      <w:szCs w:val="24"/>
    </w:rPr>
  </w:style>
  <w:style w:type="character" w:customStyle="1" w:styleId="132">
    <w:name w:val="标题 字符"/>
    <w:qFormat/>
    <w:uiPriority w:val="0"/>
    <w:rPr>
      <w:rFonts w:ascii="Arial" w:hAnsi="Arial"/>
      <w:b/>
      <w:bCs/>
      <w:kern w:val="2"/>
      <w:sz w:val="32"/>
      <w:szCs w:val="32"/>
    </w:rPr>
  </w:style>
  <w:style w:type="character" w:customStyle="1" w:styleId="133">
    <w:name w:val="样式 标题 6节内4级标记H6h6Third SubheadingPIM 6Bullet listLegal Le... Char"/>
    <w:link w:val="134"/>
    <w:qFormat/>
    <w:locked/>
    <w:uiPriority w:val="0"/>
    <w:rPr>
      <w:b/>
      <w:bCs/>
      <w:sz w:val="24"/>
      <w:szCs w:val="24"/>
    </w:rPr>
  </w:style>
  <w:style w:type="paragraph" w:customStyle="1" w:styleId="134">
    <w:name w:val="样式 标题 6节内4级标记H6h6Third SubheadingPIM 6Bullet listLegal Le..."/>
    <w:basedOn w:val="12"/>
    <w:link w:val="133"/>
    <w:qFormat/>
    <w:uiPriority w:val="0"/>
    <w:pPr>
      <w:numPr>
        <w:ilvl w:val="0"/>
        <w:numId w:val="0"/>
      </w:numPr>
      <w:tabs>
        <w:tab w:val="left" w:pos="432"/>
        <w:tab w:val="left" w:pos="1151"/>
      </w:tabs>
      <w:adjustRightInd/>
      <w:spacing w:line="320" w:lineRule="auto"/>
      <w:ind w:left="1151" w:hanging="1151"/>
      <w:jc w:val="both"/>
      <w:textAlignment w:val="auto"/>
    </w:pPr>
    <w:rPr>
      <w:rFonts w:asciiTheme="minorHAnsi" w:hAnsiTheme="minorHAnsi" w:eastAsiaTheme="minorEastAsia" w:cstheme="minorBidi"/>
    </w:rPr>
  </w:style>
  <w:style w:type="character" w:customStyle="1" w:styleId="135">
    <w:name w:val="my正文 Char"/>
    <w:link w:val="136"/>
    <w:qFormat/>
    <w:uiPriority w:val="0"/>
    <w:rPr>
      <w:rFonts w:ascii="Arial" w:hAnsi="Arial"/>
      <w:sz w:val="24"/>
      <w:szCs w:val="24"/>
    </w:rPr>
  </w:style>
  <w:style w:type="paragraph" w:customStyle="1" w:styleId="136">
    <w:name w:val="my正文"/>
    <w:basedOn w:val="1"/>
    <w:link w:val="135"/>
    <w:qFormat/>
    <w:uiPriority w:val="0"/>
    <w:pPr>
      <w:spacing w:line="360" w:lineRule="auto"/>
      <w:ind w:firstLine="200" w:firstLineChars="200"/>
    </w:pPr>
    <w:rPr>
      <w:rFonts w:ascii="Arial" w:hAnsi="Arial" w:eastAsiaTheme="minorEastAsia" w:cstheme="minorBidi"/>
      <w:kern w:val="0"/>
      <w:sz w:val="24"/>
    </w:rPr>
  </w:style>
  <w:style w:type="character" w:customStyle="1" w:styleId="137">
    <w:name w:val="标准文本 Char"/>
    <w:link w:val="138"/>
    <w:qFormat/>
    <w:uiPriority w:val="0"/>
    <w:rPr>
      <w:rFonts w:eastAsia="仿宋"/>
      <w:sz w:val="24"/>
    </w:rPr>
  </w:style>
  <w:style w:type="paragraph" w:customStyle="1" w:styleId="138">
    <w:name w:val="标准文本"/>
    <w:basedOn w:val="1"/>
    <w:link w:val="137"/>
    <w:qFormat/>
    <w:uiPriority w:val="0"/>
    <w:pPr>
      <w:spacing w:line="360" w:lineRule="auto"/>
      <w:ind w:firstLine="480" w:firstLineChars="200"/>
    </w:pPr>
    <w:rPr>
      <w:rFonts w:eastAsia="仿宋" w:asciiTheme="minorHAnsi" w:hAnsiTheme="minorHAnsi" w:cstheme="minorBidi"/>
      <w:kern w:val="0"/>
      <w:sz w:val="24"/>
      <w:szCs w:val="20"/>
    </w:rPr>
  </w:style>
  <w:style w:type="character" w:customStyle="1" w:styleId="139">
    <w:name w:val="页脚 字符1"/>
    <w:qFormat/>
    <w:locked/>
    <w:uiPriority w:val="99"/>
    <w:rPr>
      <w:kern w:val="2"/>
      <w:sz w:val="18"/>
      <w:szCs w:val="18"/>
    </w:rPr>
  </w:style>
  <w:style w:type="character" w:customStyle="1" w:styleId="140">
    <w:name w:val="正文文本缩进 字符"/>
    <w:qFormat/>
    <w:uiPriority w:val="0"/>
    <w:rPr>
      <w:rFonts w:ascii="幼圆" w:eastAsia="幼圆"/>
      <w:kern w:val="2"/>
      <w:sz w:val="24"/>
      <w:szCs w:val="28"/>
    </w:rPr>
  </w:style>
  <w:style w:type="character" w:customStyle="1" w:styleId="141">
    <w:name w:val="页眉 字符1"/>
    <w:qFormat/>
    <w:locked/>
    <w:uiPriority w:val="0"/>
    <w:rPr>
      <w:kern w:val="2"/>
      <w:sz w:val="18"/>
      <w:szCs w:val="18"/>
    </w:rPr>
  </w:style>
  <w:style w:type="character" w:customStyle="1" w:styleId="142">
    <w:name w:val="彩色列表 - 着色 1 字符"/>
    <w:qFormat/>
    <w:uiPriority w:val="0"/>
    <w:rPr>
      <w:kern w:val="2"/>
      <w:sz w:val="21"/>
      <w:szCs w:val="24"/>
    </w:rPr>
  </w:style>
  <w:style w:type="character" w:customStyle="1" w:styleId="143">
    <w:name w:val="apple-style-span"/>
    <w:qFormat/>
    <w:uiPriority w:val="0"/>
    <w:rPr>
      <w:rFonts w:cs="Times New Roman"/>
    </w:rPr>
  </w:style>
  <w:style w:type="character" w:customStyle="1" w:styleId="144">
    <w:name w:val="正文首行缩进 Char"/>
    <w:basedOn w:val="73"/>
    <w:qFormat/>
    <w:uiPriority w:val="0"/>
    <w:rPr>
      <w:rFonts w:ascii="Times New Roman" w:hAnsi="Times New Roman" w:eastAsia="宋体" w:cs="Times New Roman"/>
      <w:szCs w:val="24"/>
    </w:rPr>
  </w:style>
  <w:style w:type="character" w:customStyle="1" w:styleId="145">
    <w:name w:val="正文首行缩进二字，宋体小四号 Char"/>
    <w:link w:val="146"/>
    <w:qFormat/>
    <w:locked/>
    <w:uiPriority w:val="0"/>
    <w:rPr>
      <w:sz w:val="24"/>
    </w:rPr>
  </w:style>
  <w:style w:type="paragraph" w:customStyle="1" w:styleId="146">
    <w:name w:val="正文首行缩进二字，宋体小四号"/>
    <w:basedOn w:val="1"/>
    <w:link w:val="145"/>
    <w:qFormat/>
    <w:uiPriority w:val="0"/>
    <w:pPr>
      <w:widowControl/>
      <w:spacing w:before="156" w:line="300" w:lineRule="auto"/>
      <w:ind w:firstLine="560" w:firstLineChars="200"/>
    </w:pPr>
    <w:rPr>
      <w:rFonts w:asciiTheme="minorHAnsi" w:hAnsiTheme="minorHAnsi" w:eastAsiaTheme="minorEastAsia" w:cstheme="minorBidi"/>
      <w:kern w:val="0"/>
      <w:sz w:val="24"/>
      <w:szCs w:val="20"/>
    </w:rPr>
  </w:style>
  <w:style w:type="character" w:customStyle="1" w:styleId="147">
    <w:name w:val="正文文本 3 Char"/>
    <w:qFormat/>
    <w:uiPriority w:val="0"/>
    <w:rPr>
      <w:sz w:val="24"/>
      <w:szCs w:val="16"/>
    </w:rPr>
  </w:style>
  <w:style w:type="character" w:customStyle="1" w:styleId="148">
    <w:name w:val="副标题 Char1"/>
    <w:qFormat/>
    <w:uiPriority w:val="0"/>
    <w:rPr>
      <w:rFonts w:ascii="Arial" w:hAnsi="Arial"/>
      <w:i/>
      <w:sz w:val="24"/>
      <w:szCs w:val="24"/>
      <w:lang w:eastAsia="en-US"/>
    </w:rPr>
  </w:style>
  <w:style w:type="character" w:customStyle="1" w:styleId="149">
    <w:name w:val="样式 标题 6节内4级标记H6h6Third SubheadingPIM 6Bullet listLegal Le...1 Char"/>
    <w:link w:val="150"/>
    <w:qFormat/>
    <w:locked/>
    <w:uiPriority w:val="0"/>
    <w:rPr>
      <w:rFonts w:eastAsia="黑体"/>
      <w:b/>
      <w:bCs/>
      <w:sz w:val="24"/>
      <w:szCs w:val="24"/>
    </w:rPr>
  </w:style>
  <w:style w:type="paragraph" w:customStyle="1" w:styleId="150">
    <w:name w:val="样式 标题 6节内4级标记H6h6Third SubheadingPIM 6Bullet listLegal Le...1"/>
    <w:basedOn w:val="12"/>
    <w:link w:val="149"/>
    <w:qFormat/>
    <w:uiPriority w:val="0"/>
    <w:pPr>
      <w:numPr>
        <w:ilvl w:val="0"/>
        <w:numId w:val="0"/>
      </w:numPr>
      <w:tabs>
        <w:tab w:val="left" w:pos="432"/>
        <w:tab w:val="left" w:pos="1151"/>
      </w:tabs>
      <w:adjustRightInd/>
      <w:spacing w:line="320" w:lineRule="auto"/>
      <w:ind w:left="1151" w:hanging="1151"/>
      <w:jc w:val="both"/>
      <w:textAlignment w:val="auto"/>
    </w:pPr>
    <w:rPr>
      <w:rFonts w:asciiTheme="minorHAnsi" w:hAnsiTheme="minorHAnsi" w:cstheme="minorBidi"/>
    </w:rPr>
  </w:style>
  <w:style w:type="character" w:customStyle="1" w:styleId="151">
    <w:name w:val="帮助正文 Char"/>
    <w:link w:val="152"/>
    <w:qFormat/>
    <w:locked/>
    <w:uiPriority w:val="0"/>
    <w:rPr>
      <w:rFonts w:ascii="微软雅黑" w:hAnsi="微软雅黑" w:eastAsia="微软雅黑"/>
    </w:rPr>
  </w:style>
  <w:style w:type="paragraph" w:customStyle="1" w:styleId="152">
    <w:name w:val="帮助正文"/>
    <w:basedOn w:val="1"/>
    <w:link w:val="151"/>
    <w:qFormat/>
    <w:uiPriority w:val="0"/>
    <w:rPr>
      <w:rFonts w:ascii="微软雅黑" w:hAnsi="微软雅黑" w:eastAsia="微软雅黑" w:cstheme="minorBidi"/>
      <w:kern w:val="0"/>
      <w:sz w:val="20"/>
      <w:szCs w:val="20"/>
    </w:rPr>
  </w:style>
  <w:style w:type="character" w:customStyle="1" w:styleId="153">
    <w:name w:val="列出段落 字符"/>
    <w:qFormat/>
    <w:uiPriority w:val="34"/>
    <w:rPr>
      <w:rFonts w:ascii="Calibri" w:hAnsi="Calibri"/>
      <w:kern w:val="2"/>
      <w:sz w:val="21"/>
      <w:szCs w:val="22"/>
    </w:rPr>
  </w:style>
  <w:style w:type="character" w:customStyle="1" w:styleId="154">
    <w:name w:val="标题 字符2"/>
    <w:basedOn w:val="50"/>
    <w:qFormat/>
    <w:uiPriority w:val="10"/>
    <w:rPr>
      <w:rFonts w:asciiTheme="majorHAnsi" w:hAnsiTheme="majorHAnsi" w:eastAsiaTheme="majorEastAsia" w:cstheme="majorBidi"/>
      <w:b/>
      <w:bCs/>
      <w:sz w:val="32"/>
      <w:szCs w:val="32"/>
    </w:rPr>
  </w:style>
  <w:style w:type="character" w:customStyle="1" w:styleId="155">
    <w:name w:val="副标题 字符1"/>
    <w:basedOn w:val="50"/>
    <w:qFormat/>
    <w:uiPriority w:val="11"/>
    <w:rPr>
      <w:b/>
      <w:bCs/>
      <w:kern w:val="28"/>
      <w:sz w:val="32"/>
      <w:szCs w:val="32"/>
    </w:rPr>
  </w:style>
  <w:style w:type="paragraph" w:customStyle="1" w:styleId="156">
    <w:name w:val="List Paragraph1"/>
    <w:basedOn w:val="1"/>
    <w:qFormat/>
    <w:uiPriority w:val="0"/>
  </w:style>
  <w:style w:type="paragraph" w:customStyle="1" w:styleId="157">
    <w:name w:val="标准"/>
    <w:basedOn w:val="1"/>
    <w:qFormat/>
    <w:uiPriority w:val="0"/>
    <w:pPr>
      <w:spacing w:line="360" w:lineRule="auto"/>
      <w:ind w:firstLine="540" w:firstLineChars="225"/>
      <w:jc w:val="left"/>
    </w:pPr>
    <w:rPr>
      <w:rFonts w:hAnsi="宋体" w:cs="宋体"/>
      <w:sz w:val="24"/>
      <w:szCs w:val="20"/>
    </w:rPr>
  </w:style>
  <w:style w:type="paragraph" w:customStyle="1" w:styleId="158">
    <w:name w:val="列出段落1"/>
    <w:basedOn w:val="1"/>
    <w:qFormat/>
    <w:uiPriority w:val="0"/>
    <w:pPr>
      <w:ind w:firstLine="420" w:firstLineChars="200"/>
    </w:pPr>
    <w:rPr>
      <w:szCs w:val="21"/>
    </w:rPr>
  </w:style>
  <w:style w:type="paragraph" w:customStyle="1" w:styleId="159">
    <w:name w:val="列出段落2"/>
    <w:basedOn w:val="1"/>
    <w:qFormat/>
    <w:uiPriority w:val="34"/>
    <w:pPr>
      <w:ind w:firstLine="420" w:firstLineChars="200"/>
    </w:pPr>
    <w:rPr>
      <w:szCs w:val="21"/>
    </w:rPr>
  </w:style>
  <w:style w:type="character" w:customStyle="1" w:styleId="160">
    <w:name w:val="彩色列表 - 强调文字颜色 1 Char"/>
    <w:qFormat/>
    <w:uiPriority w:val="34"/>
    <w:rPr>
      <w:rFonts w:ascii="等线" w:hAnsi="等线" w:eastAsia="等线"/>
      <w:kern w:val="2"/>
      <w:sz w:val="24"/>
      <w:szCs w:val="24"/>
    </w:rPr>
  </w:style>
  <w:style w:type="table" w:customStyle="1" w:styleId="161">
    <w:name w:val="自定网格1"/>
    <w:basedOn w:val="4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2">
    <w:name w:val="样式2"/>
    <w:basedOn w:val="32"/>
    <w:qFormat/>
    <w:uiPriority w:val="0"/>
    <w:pPr>
      <w:pBdr>
        <w:bottom w:val="thickThinSmallGap" w:color="auto" w:sz="24" w:space="1"/>
      </w:pBdr>
      <w:jc w:val="both"/>
    </w:pPr>
  </w:style>
  <w:style w:type="character" w:customStyle="1" w:styleId="163">
    <w:name w:val="标题 2 字符1"/>
    <w:basedOn w:val="50"/>
    <w:semiHidden/>
    <w:qFormat/>
    <w:locked/>
    <w:uiPriority w:val="0"/>
    <w:rPr>
      <w:rFonts w:ascii="Arial" w:hAnsi="Arial"/>
      <w:b/>
      <w:bCs/>
      <w:kern w:val="2"/>
      <w:sz w:val="24"/>
      <w:szCs w:val="32"/>
    </w:rPr>
  </w:style>
  <w:style w:type="paragraph" w:customStyle="1" w:styleId="164">
    <w:name w:val="_Style 162"/>
    <w:basedOn w:val="3"/>
    <w:next w:val="2"/>
    <w:link w:val="166"/>
    <w:qFormat/>
    <w:uiPriority w:val="0"/>
    <w:pPr>
      <w:ind w:firstLine="420" w:firstLineChars="200"/>
    </w:pPr>
  </w:style>
  <w:style w:type="character" w:customStyle="1" w:styleId="165">
    <w:name w:val="列出段落 Char"/>
    <w:qFormat/>
    <w:uiPriority w:val="34"/>
    <w:rPr>
      <w:szCs w:val="24"/>
      <w:lang w:val="zh-CN" w:eastAsia="zh-CN"/>
    </w:rPr>
  </w:style>
  <w:style w:type="character" w:customStyle="1" w:styleId="166">
    <w:name w:val="正文首行缩进 2 Char"/>
    <w:link w:val="164"/>
    <w:qFormat/>
    <w:uiPriority w:val="0"/>
    <w:rPr>
      <w:rFonts w:ascii="Times New Roman" w:hAnsi="Times New Roman" w:eastAsia="宋体" w:cs="Times New Roman"/>
      <w:kern w:val="2"/>
      <w:sz w:val="21"/>
      <w:szCs w:val="24"/>
    </w:rPr>
  </w:style>
  <w:style w:type="character" w:customStyle="1" w:styleId="167">
    <w:name w:val="mini-outputtext1"/>
    <w:basedOn w:val="50"/>
    <w:qFormat/>
    <w:uiPriority w:val="0"/>
  </w:style>
  <w:style w:type="character" w:customStyle="1" w:styleId="168">
    <w:name w:val="NormalCharacter"/>
    <w:qFormat/>
    <w:uiPriority w:val="0"/>
  </w:style>
  <w:style w:type="character" w:customStyle="1" w:styleId="169">
    <w:name w:val="font41"/>
    <w:basedOn w:val="50"/>
    <w:qFormat/>
    <w:uiPriority w:val="0"/>
    <w:rPr>
      <w:rFonts w:hint="eastAsia" w:ascii="宋体" w:hAnsi="宋体" w:eastAsia="宋体" w:cs="宋体"/>
      <w:b/>
      <w:color w:val="000000"/>
      <w:sz w:val="22"/>
      <w:szCs w:val="22"/>
      <w:u w:val="none"/>
    </w:rPr>
  </w:style>
  <w:style w:type="character" w:customStyle="1" w:styleId="170">
    <w:name w:val="font31"/>
    <w:basedOn w:val="50"/>
    <w:qFormat/>
    <w:uiPriority w:val="0"/>
    <w:rPr>
      <w:rFonts w:ascii="Arial Unicode MS" w:hAnsi="Arial Unicode MS" w:eastAsia="Arial Unicode MS" w:cs="Arial Unicode MS"/>
      <w:b/>
      <w:color w:val="000000"/>
      <w:sz w:val="22"/>
      <w:szCs w:val="22"/>
      <w:u w:val="none"/>
    </w:rPr>
  </w:style>
  <w:style w:type="character" w:customStyle="1" w:styleId="171">
    <w:name w:val="font11"/>
    <w:basedOn w:val="5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ECCB52-93BD-44C9-93FB-805CD8965B7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92</Pages>
  <Words>7937</Words>
  <Characters>45241</Characters>
  <Lines>377</Lines>
  <Paragraphs>106</Paragraphs>
  <TotalTime>7</TotalTime>
  <ScaleCrop>false</ScaleCrop>
  <LinksUpToDate>false</LinksUpToDate>
  <CharactersWithSpaces>53072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2020-08-23T05:24:00Z</dcterms:created>
  <dc:creator>admin</dc:creator>
  <cp:lastModifiedBy>兜兜有糖</cp:lastModifiedBy>
  <cp:lastPrinted>2021-01-13T08:34:00Z</cp:lastPrinted>
  <dcterms:modified xsi:type="dcterms:W3CDTF">2021-11-18T09:34:53Z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5D6183B7B7244439AFC5DF3FE293DF94</vt:lpwstr>
  </property>
</Properties>
</file>