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10" w:beforeAutospacing="0" w:after="10" w:afterAutospacing="0" w:line="500" w:lineRule="atLeast"/>
        <w:ind w:left="0" w:right="0"/>
        <w:jc w:val="center"/>
        <w:rPr>
          <w:rFonts w:ascii="黑体" w:hAnsi="宋体" w:eastAsia="黑体" w:cs="黑体"/>
          <w:sz w:val="36"/>
          <w:szCs w:val="36"/>
        </w:rPr>
      </w:pPr>
      <w:r>
        <w:rPr>
          <w:rFonts w:hint="eastAsia" w:ascii="黑体" w:hAnsi="宋体" w:eastAsia="黑体" w:cs="黑体"/>
          <w:sz w:val="36"/>
          <w:szCs w:val="36"/>
        </w:rPr>
        <w:t>安徽省全椒县人民法院</w:t>
      </w:r>
    </w:p>
    <w:p>
      <w:pPr>
        <w:keepNext w:val="0"/>
        <w:keepLines w:val="0"/>
        <w:widowControl/>
        <w:suppressLineNumbers w:val="0"/>
        <w:spacing w:before="10" w:beforeAutospacing="0" w:after="10" w:afterAutospacing="0" w:line="500" w:lineRule="atLeast"/>
        <w:ind w:left="0" w:right="0"/>
        <w:jc w:val="center"/>
        <w:rPr>
          <w:rFonts w:hint="eastAsia" w:ascii="黑体" w:hAnsi="宋体" w:eastAsia="黑体" w:cs="黑体"/>
          <w:sz w:val="36"/>
          <w:szCs w:val="36"/>
        </w:rPr>
      </w:pPr>
      <w:r>
        <w:rPr>
          <w:rFonts w:hint="eastAsia" w:ascii="黑体" w:hAnsi="宋体" w:eastAsia="黑体" w:cs="黑体"/>
          <w:sz w:val="36"/>
          <w:szCs w:val="36"/>
        </w:rPr>
        <w:t>行 政 判 决 书</w:t>
      </w:r>
    </w:p>
    <w:p>
      <w:pPr>
        <w:keepNext w:val="0"/>
        <w:keepLines w:val="0"/>
        <w:widowControl/>
        <w:suppressLineNumbers w:val="0"/>
        <w:spacing w:before="10" w:beforeAutospacing="0" w:after="10" w:afterAutospacing="0" w:line="500" w:lineRule="atLeast"/>
        <w:ind w:left="0" w:right="0"/>
        <w:jc w:val="right"/>
        <w:rPr>
          <w:rFonts w:hint="eastAsia" w:ascii="宋体" w:hAnsi="宋体" w:eastAsia="宋体" w:cs="宋体"/>
          <w:sz w:val="30"/>
          <w:szCs w:val="30"/>
        </w:rPr>
      </w:pPr>
      <w:r>
        <w:rPr>
          <w:rFonts w:hint="eastAsia" w:ascii="宋体" w:hAnsi="宋体" w:eastAsia="宋体" w:cs="宋体"/>
          <w:sz w:val="30"/>
          <w:szCs w:val="30"/>
        </w:rPr>
        <w:t>(2021)皖1124行初7号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原告安徽廷煜信息科技有限公司，住所地安徽省滁州市。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法定代表人金晶,该公司总经理。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委托诉讼代理人吴昊，该公司员工。</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委托诉讼代理人刘静，该公司员工。</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被告全椒县公共资源交易监督管理局，住所地安徽省全椒县。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负责人郑祥华，系该局局长。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委托诉讼代理人李忠林，该局员工。</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委托诉讼代理人孙章，安徽衡远律师事务所律师。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第三人滁州市应用技术学校，住所地安徽省全椒县。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法定代表人赵育成，该校校长。</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委托诉讼代理人王诚，安徽衡远律师事务所律师。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第三人安徽万千工程项目管理有限公司，住所地安徽省宿州市。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法定代表人刘杰，该公司总经理。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委托诉讼代理人张昌文，该公司员工。</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第三人江苏南工科技集团有限公司，住所地南京市建邺区。</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法定代表人陈俊桦，该公司总经理。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委托诉讼代理人周宇，江苏诺华律师事务所律师。</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安徽廷煜信息科技有限公司(以下简称廷煜公司)不服被告全椒县公共资源交易监督管理局（以下简称全椒县公管局）作出的全公管复[2020]5号《全椒县职业教育中心新校区报告厅、道德讲堂、小会议室等采购及安装项目一标段投诉处理决定书》一案，于2020年8月4日向本院提起行政诉讼。本院受理后于2020年9月21日依法作出（2020）皖1124行初11号行政判决。原告廷煜公司不服本判决，依法向滁州市中级人民法院提起上诉。滁州市中级人民法院于2020年11月27日作出（2020）皖11行终135号裁定，裁定本案发回重审。本院在重审过程中，依法通知滁州市应用技术学校（以下简称滁州技术学校）、安徽万千工程项目管理有限公司（以下简称万千公司）、江苏南工科技集团有限公司（以下简称南工公司）为本案第三人参加诉讼。依法重新组成合议庭，于2021年4月15日公开开庭进行了审理。原告廷煜公司的委托诉讼代理人吴昊、刘静、被告全椒县公管局的出庭负责人陆尔君及其委托诉讼代理人李忠林、孙章、第三人滁州技术学校的委托诉讼代理人王诚、第三人万千公司的委托诉讼代理人张昌文、第三人南工公司的委托诉讼代理人周宇到庭参加诉讼。本案现已审理终结。</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2020年6月12日，全椒县公管局作出全公管复[2020]5号《全椒县职业教育中心新校区报告厅、道德讲堂、小会议室等采购及安装项目一标段投诉处理决定书》：针对廷煜公司的投诉事项，关于投诉1和2，评标委员会评审存在错误，责令改正，对评标专家依据《安徽省评标评审专家考评办法》进行处理；关于投诉事项3，本着公开公平公正的原则，责令代理机构补充公示中标人业绩。</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廷煜公司诉称，2020年4月20日,滁州技术学校作为招标人、万千公司作为招标代理机构,通过滁州市公共资源交易中心平台发布了项目编号为CZcg2020004-148-01号的《全椒县职业教育中心新校区报告厅、道德讲堂、小会议室等采购及安装项目一标段》招标公告。该项目资金来源为财政资金,一标段最高限价为280万元。原告作为符合招标公告条件的投标人,于2020年5月12日向上述平台发送了投标文件。2020年5月13日,经该招标项目评标委员会评审,南工公司以总分97分,得分第一,被推荐为中标供应商。招标人滁州技术学校确定该公司中标。根据公布的中标人提供的投标书,该公司存在以下九项以虚假资料投标行为:1、招标文件的主阵列模块扬声器1第5项技术参数要求为覆盖范围100°H×10V,而南工公司提供的中标产品(品牌Electro-Voice,型号EVA2082S/906-BLX)为90°和6°;2、招标文件的主阵列模块扬声器2第5项技术参数要求为覆盖范围100°H×20°V,而南工公司提供的中标产品(品牌Electr0-Voice,型号EVA2082S/906-WHT)为90°和6°;3、招标文件的次低音模块扬声器第4、5项技术参数要求为额定功率(AES测试标准)1250W、灵敏度(SPL/1W@lm)阵列吊装92dB、地面摆放98dB，而南工公司提供的中标产品(品牌Electro-Voice,型号EVA2151D-BLK)额定功率为1000W、灵敏度为100dB;4、招标文件的返听扬声器第1、2、4项技术参数要求为低频、高频音圈不小于2英寸、覆盖范围90°×60°(可旋转高频号角)，而南工公司提供的中标产品(品牌:Electro-Voice,型号:ZX1-90)音圈1.25英寸、可旋转号角覆盖范围为90°×50°;5、招标文件的台唇扬声器第4、5项技术参数要求为覆盖范围90°×60°(可旋转高频号角)、额定功率≥400W，而南工公司提供的中标产品(品牌:Electro-Voice,型号:EVU2082/95-BLK)覆盖范围为90°×50°、额定功率为350W。该项目工程的性质为教学、会议报告厅用途。上述音响设备参数是其重要技术指标。如果不能达到招标文件要求,必然会对工程的使用效果产生较大不利影响。按招标文件评分标准,南工公司的这些不符合招标文件的设备参数,应当扣除9分。而扣除该分数后,其总计评分为88分。开标后,原告认为根据相关法律规定南工公司提交虚假材料骗取中标无效,遂于2020年5月18日向招标人及招标代理机构提出质疑。招标人、招标代理机构以原告提交的对比资料来源于网络,不具有确定性为由,对原告提出的质疑事项全部不予认可。为此,原告依法于2020年6月8日向被告提出相应投诉，被告于2020年6月12日作出全公管复[2020]5号《全椒县职业教育中心新校区报告厅、道德讲堂、小会议室等采购及安装项目一标段投诉处理决定书》，该决定书在认定投诉事项属实的情况下,作出违反招标投标法、政府采购法的决定,即责令该项目评标委员会改正,对评标专家进行处理。根据相关法律规定,投标人使用虚假材料中标的,其中标无效。因此，被告作出的上述决定书违法。故诉请：1、判令撤销被告作出的全公管复[2020]5号《全椒县职业教育中心新校区报告厅、道德讲堂、小会议室等采购及安装项目一标段投诉处理决定书》;2、判令被告对原告投诉的“全椒县职业教育中心新校区报告厅、道德讲堂、小会议室等采购及安装项目一标段”存在的以虚假材料中标问题重新作出处理决定;3、本案诉讼费用由被告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廷煜公司提交以下证据：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证据一、营业执照一份。证明廷煜公司符合行政诉讼的主体资格。</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证据二、滁州市公共资源交易中心网络平台截屏图一份。证明案涉工程于2020年4月通过该网站公开招标。</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证据三、投标函一份。证明廷煜公司于2020年5月12日通过上述网站，向招标人发送投标函及相关投标文件。</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四、全公管复[2020]5号决定书一份。证明1、被告全椒县公管局对于原告的投诉，对投诉事项属实予以确认（即：中标人南工公司的投标文件，所投标的产品未达到招标《交易文件》所要求的技术指标）；2、被告未依据法律规定认定南工公司的中标无效，更未依法重新组织招标或责令招标人重新组织招标；3、被告认定事实正确、适用法律错误，全公管复[2020]5号决定书依法应予撤销。</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五、czcg2020004-148交易文件一份（部分）。证明招标文件要求的部分产品的技术参数为：1、主阵列模块扬声器1第5项技术参数要求为覆盖范围≥100°Hx10°V；2、主阵列模块扬声器2第5项技术参数要求为覆盖范围≥100°Hx20°V；3、次低音模块扬声器第4、5项技术参数要求为额定功率（AES测试标准）1250W、灵敏度(SPL/1W@1m)阵列吊装92dB、地面摆放98dB；4、返听扬声器第1、2、4项技术参数要求为低频、高频音圈不小于2英寸、覆盖范围90°x60°；5、台唇扬声器第4、5项技术参数要求为覆盖范围90°x60°（可旋转高频号角）、额定功率≥400W。</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六、南工公司分项报价清单一份（部分）。证明南工公司中标资料中的相关技术参数，不符合招标文件（《交易文件》）的要求，并且该公司在投标文件中，并未明示中标产品与《交易文件》要求的参数存在差异。因此该公司在投标过程中，存在故意隐瞒产品不符合招标文件要求的弄虚作假行为。具体不符合项目如下：1、中标产品的主阵列模块扬声器1第5项技术参数为品牌Electro-Voice,型号EVA2082S/906-BLX）为90°和6°；2、中标产品的主阵列模块扬声器2第5项技术参数为（品牌Electro-Voice,型号EVA2082S/906-WHT）为90°和6°；3、中标产品的次低音模块扬声器第4、5项技术参数为（品牌Electro-Voice,型号EVA2151D-BLK）额定功率为1000W；灵敏度为100dB;4、中标产品的返听扬声器第1、2、4项技术参数为（品牌：Electro-Voice,型号：ZX1-90）音圈1.25英寸；可旋转号角覆盖范围为90°x50°；5、中标产品的台唇扬声器第4、5项技术参数为（品牌：Electro-Voice,型EVU2082/95-BLK）覆盖范围为90°x50°；额定功率为350W。</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证据七、Electro-Voice设备供应商管网下载参数一组。证明南工公司中标的相应产品的技术官方技术参数，与该官网数据一致，且不符合《交易文件》的要求。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全椒县公管局辩称，第一，我局职责包括依法监督管理全椒县内公共资源交易活动，处理交易活动中的举报、投诉，查处交易活动中违法违规行为，具有作出本案《投诉处理决定书》的职权；第二，我局作出的《投诉处理决定书》程序合法，认定事实清楚，处理决定适当、合法。1、我局于2020年6月8日收到廷煜公司的《投诉函》后，即根据相关处理程序规定予以了受理。经认真审查后，于2020年6月12日作出《投诉处理决定书》，符合法律规定；2、《投诉处理决定书》关于投诉人即廷煜公司的投诉1和2，认为评审委员会存在错误，按照《中华人民共和国招投标法实施条例》相关规定，责令评标委员会予以了改正，改正后的得分仍显示原中标单位“南工公司”得分第一，不影响原中标结果;第三、廷煜公司起诉称“投标人使用虚假材料中标的，其中标无效”，我局认为，本案中标人不属于使用虚假材料中标，只是对得分有影响。1、关于投诉1中标人报价清单中所投产品与交易文件参数存在偏离，该投诉属实。关于投诉2中标人得分97分，因为中标人参数存在偏离应当予以扣减的问题，经审查，我局认为属实，应当予以扣减9分。2、根据交易文件中6.2技术标评审细则“评分内容及标准”中“设备技术参数中标★为设备的重要性能指标，一项不满足或负偏离减2分，非标★一项不满足或负偏离减1分，扣完为止”，廷煜公司投诉所称的项目属于非标★项目，因为中标人投标产品不符合的扣减1分，合计扣减了9分。3、廷煜公司据此认为中标人系提交虚假材料骗取中标无效，我局认为根据交易文件，该项参数允许存在负偏离，即如果符合参数在评分时得分，如果存在负偏离即不得分，并不是说如果存在负偏离即认为不能中标，中标人投标产品不符合，根据交易文件应当予以扣分，该情形显然不属于虚假材料中标。4、关于虚假材料中标法律规定，其中《招投标法》第三十三条规定：投标人不得以低于成本的报价竞标，也不得以他人名义投标或者以其他方式弄虚作假，骗取中标。《中华人民共和国招投标法实施条例》第四十二条规定：使用通过受让或者租借等方式获取的资格、资质证书投标的，属于招标投标法第三十三条规定的以他人名义投标。投标人有下列情形之一的，属于招标投标法第三十三条规定的以其他方式弄虚作假的行为（一）使用伪造、变造的许可证件；（二）提供虚假的财务状况或者业绩；（三）提供虚假的项目负责人或者主要技术人员简历、劳动关系证明；（四）提供虚假的信用状况；（五）其他弄虚作假的行为。根据上述规定，结合中标人提交的材料，本案中标人不属于提交虚假材料中标的情形。综上，本案原告廷煜公司起诉称中标人中标的产品参数不符合招标交易文件的参数标准就属于使用虚假材料的理由没有事实和法律依据，应当予以驳回。</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被告全椒县公管局向本院提交的证据、依据是：</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证据一、统一社会信用代码证。证明被告是具有对原告的投诉作出处理决定的招投标监督管理机构。</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二、投诉函、投诉处理决定书以及送达回执。证明1、原告于2020年6月8日因“全椒县职业教育中心新校区报告厅、道德讲堂、小会议室等采购安装项目一标段”招投标过程中对专家评审委员会给出的质疑答复不服，向被告投诉。被告受理原告投诉后及时作出了投诉处理决定并送达给了原告；2、原告投诉中标人投标产品参数不符合招标交易文件以及应当扣减分的投诉属实，被告在作出投诉决定中已经根据法律规定责令该项目评标委员会改正，对评标专家依据有关规定进行处理。并责令代理机构补充公示中标人业绩。</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三、标后复议意见书、评分表、企业业绩补充公示。证明1、原告投诉关于参数不符的问题，经专家复议后，将参数不符合的分数予以扣减后重新打分，原中标单位仍然得分第一，中标结果没有改变；2、招标代理机构补充公示了业绩。</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证据四、交易文件。证明根据交易文件评分内容及标准，原告投诉事项允许存在负偏离，负偏离情况下，减1分，被告认为中标人提供产品的参数达不到交易文件的参数标准不属于虚假材料投标。</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证据五、《招投标法》第三十三条、《招投标法实施条例》第四十二条的法律规定，证明被告作出的处理决定书具有法律依据，被告认为中标人不属于提供虚假材料中标。</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第三人滁州技术学校述称，我方认为，原告提起的本次行政诉讼缺乏事实和法律依据，其诉求纯属认识上的偏差，被告所做的具体行政行为正确，程序合法，请求法院依法驳回原告的诉讼请求。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万千公司述称，我司受滁州市应用技术学校委托，系该项目的招标代理人。南工公司以总分97分中标，中标后，原告提出质疑，我司按照质疑回复原告，委托了专家对此项目二次进行了评分，扣除后总分为88分。</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三人南工公司述称，我司认为原告的诉请没有事实与法律依据，招投标法33条和实施条例42条中所规定的其它弄虚作假行为应当是与法律所明确列举的低成本报价竞标、以他人名义投标等同性质的行为，而本案中我司材料的相应误差是评分标准允许存在的合理误差，不属于其它弄虚作假行为，故原一审判决认定事实清楚，虽有程序上的瑕疵，但判决结果正确，故请求驳回原告诉请。</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庭审质证，被告全椒县公管局及第三人对廷煜公司所提交的证据发表质证意见如下：1、对证据一、二、三无异议；2、对证据四真实性无异议，但被告在审查原告的投诉后，认为虽然投诉事项属实，但不改变中标结果，按照招投标法实施条例的相关规定做出了处理意见，对原告的证明目的有异议，原告引用的法律条文不适用于本案，本案被告认定的投诉属实行为，也与原告引用的法律条文无关，本案是原告认为被告在对招投标中的投诉处理决定不服而提起的行政诉讼，对于政府采购中的监管部门应为财政部门，而并非本案被告，同时根据财政部94号6第32条规定，投诉人对采购过程或采购结果提起的投诉事项，财政部门经查证属实的，应当认定投诉事项成立，经认定成立的投诉事项不影响采购结果的继续开展采购活动；3、对于证据五、六、七已由评审委员会在标后复议意见书予以回应。</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原告廷煜公司对被告全椒县公管局所提交的证据发表质证意见如下：1、对证据一无异议；2、对证据二的真实性无异议，但认为该决定不符合招投标法以及政府采购法的决定，是一个违法的错误的决定；3、对证据三的真实性无异议，认为该组文件除了有企业业绩补充公示外，其余文件均是在原告投诉后被告进行的相关内部公告，该文件并没有向原告告知，因此其对原告不具有约束力；4、对证据四的真实性无异议，但对其证明目的不认可，如果投标人在投标文件中明确列示所提供相应产品的技术参数与招标文件不一致，那么则属于数据偏离的概念，但投标人在投标过程中隐瞒其产品的技术数据而中标，就属于弄虚作假；5、对证据五的真实性无异议，但认为被告没有全面适用政府招标法和相关法律，如果严格依据相关法律规定，中标人南工公司的虚假投标行为，应当被作为投标无效处理，招标人及代理机构应当进行重新招标或者根据政府采购法的规定，由得分第二的投标人来中标，但被告没有依法行政。第三人对被告全椒县公管局提供证据均无异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本院对上述证据认定如下：对双方当事人所提供的证据，双方无异议的证据，本院予以确认。双方有争议的证据以及能否达到各自的证明目的，本院将在说理部分予以阐述。</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经审理查明，2020年4月20日,滁州技术学校作为招标人、万千公司作为招标代理机构,通过滁州市公共资源交易中心平台发布了项目编号为CZcg2020004-148-01号的《全椒县职业教育中心新校区报告厅、道德讲堂、小会议室等采购及安装项目一标段》招标公告。该项目资金来源为财政资金,一标段最高限价为280万元。2020年5月12日，廷煜公司作为符合招标公告条件的投标人,向上述平台发送了投标文件。2020年5月13日,经该招标项目评标委员会评审,南工公司以总分97分,得分第一,被推荐为中标供应商。招标人滁州市应用技术学校确定该公司中标。</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2020年6月8日，廷煜公司因“全椒县职业教育中心新校区报告厅、道德讲堂、小会议室等采购安装项目一标段”招投标过程中对专家评审委员会给出的质疑答复不服，向全椒县公管局发出投诉函：投诉事项1、滁州市公共资源交易中心平台于2020年5月14日公示的“全椒县职业教育中心新校区报告厅、道德讲堂、小会议室等采购及安装项目一标段中标公告”附件“分项报价清单”中，中标人有五项均不能响应招标文件要求；投诉事项2，该项目在评审过程中，南工公司以97分的最终得分成为中标供应商。根据招标文件中“产品质量”的评分及标准要求：“1、设备拘束参数中标为设备的重要性指标，一项不满足或负偏离减2分”；非标★一项不满足或负偏离减1分，扣完为止”。前5项所列举不响应招标文件要求项的扣分已达12分，而中标供应商“产品质量”技术参数响应得分满分26分，中标单位不应为满分；投诉事项3、滁州市公共资源交易中心平台于2020年5月14日公示的“全椒县职业教育中心新校区报告厅、道德讲堂、小会议室等采购及安装项目一标段中标公告”中关于中标供应商“南工公司”的企业业绩没有公告。</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2020年6月12日，全椒县公管局作出全公管复[2020]5号《全椒县职业教育中心新校区报告厅、道德讲堂、小会议室等采购及安装项目一标段投诉处理决定书》，关于投诉人廷煜公司投诉事项1和2，经过调查，投诉事项属实，予以支持。关于投诉事项3，经过调查，代理机构与投诉人对交易文件理解存在偏差。全椒县公管局关于投诉1和2，评标委员会评审存在错误，依据《中华人民共和国招投标法实施条例》第七十一条第一款第三项规定，责令该项目评标委员会改正，对评标专家依据《安徽省评标评审专家考评办法》进行处理。关于投诉事项3，本着公开公平公正的原则，责令代理机构补充公示中标人业绩。廷煜公司因不服该决定书，向本院提起行政诉讼。</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另查明，《全椒县职业教育中心新校区报告厅、道德讲堂、小会议室等采购及安装项目》（项目编号：×××48）交易文件中载明的关于产品质量的技术标评审细则：1、设备技术参数中标★为设备的重要性能指标，一项不满足或负偏离减2分，非标★一项不满足或负偏离减1分；扣完为止。</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再查明，本次招投标是投标人根据招标文件提交产品参数，由评标委员会进行评审。廷煜公司投诉后，评标委员会经核实，中标单位南工公司设备参数存在负偏离应扣减的项目合计9分，扣减后其综合得分88分，仍居第一名。</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本院认为，全椒县公管局职责包括依法监督管理全椒县内公共资源交易活动，处理交易活动中的举报、投诉，查处交易活动中违法违规行为，全椒县公管局具有作出本案《投诉处理决定书》的职权。本案争议的焦点，南工公司就涉案项目投标标书中所投产品技术参数不能响应招标文件的技术参数要求，是否属于提交虚假材料中标的情形，中标是否符合招投标相关法律规定？全椒县公管局作出的全公管复[2020]5号《全椒县职业教育中心新校区报告厅、道德讲堂、小会议室等采购及安装项目一标段投诉处理决定书》是否有事实和法律依据。</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中华人民共和国招标投标法》第三十三条规定：投标人不得以低于成本的报价竞标，也不得以他人名义投标或者以其他方式弄虚作假，骗取中标。《中华人民共和国招投标法实施条例》第四十二条规定：使用通过受让或者租借等方式获取的资格、资质证书投标的，属于招标投标法第三十三条规定的以他人名义投标。投标人有下列情形之一的，属于招标投标法第三十三条规定的以其他方式弄虚作假的行为（一）使用伪造、变造的许可证件；（二）提供虚假的财务状况或者业绩；（三）提供虚假的项目负责人或者主要技术人员简历、劳动关系证明；（四）提供虚假的信用状况；（五）其他弄虚作假的行为。本案中，全椒县公管局认定南工公司报价清单中所投产品与交易文件参数存在偏离，该投诉属实，初次评审的结果错误，应当由评审委员会负责，由评标委员会进行重新评审。本院认为，南工公司提交的设备参数系招标文件中允许存在的负偏离情形，不属于提交虚假材料中标的情形，评标委员会更正后，中标人南工公司仍居所有投标单位的第一名，南工公司中标符合招投标的相关法律规定，故全椒县公管局作出的全公管复[2020]5号《全椒县职业教育中心新校区报告厅、道德讲堂、小会议室等采购及安装项目一标段投诉处理决定书》程序合法，认定事实清楚，适用法律正确。廷煜公司要求撤销该决定并要求全椒县公管局重新作出决定的诉讼请求，无事实和法律依据，对此本院不予支持。综上所述，依照《中华人民共和国行政诉讼法》第六十九条之规定，判决如下：</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驳回原告安徽廷煜信息科技有限公司的诉讼请求。</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案件受理费50元，由原告安徽廷煜信息科技有限公司承担。</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如不服本判决，可以在判决书送达之日起十五日内，向本院递交上诉状，并按对方当事人的人数提出副本，上诉于安徽省滁州市中级人民法院。</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长　　高朝银</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审　判　员　　杨婵娟</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人民陪审员　　宋会粉</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二〇二一年五月十二日</w:t>
      </w:r>
    </w:p>
    <w:p>
      <w:pPr>
        <w:keepNext w:val="0"/>
        <w:keepLines w:val="0"/>
        <w:widowControl/>
        <w:suppressLineNumbers w:val="0"/>
        <w:spacing w:before="10" w:beforeAutospacing="0" w:after="10" w:afterAutospacing="0" w:line="500" w:lineRule="atLeast"/>
        <w:ind w:left="0" w:right="720"/>
        <w:jc w:val="right"/>
        <w:rPr>
          <w:rFonts w:hint="eastAsia" w:ascii="宋体" w:hAnsi="宋体" w:eastAsia="宋体" w:cs="宋体"/>
          <w:sz w:val="30"/>
          <w:szCs w:val="30"/>
        </w:rPr>
      </w:pPr>
      <w:r>
        <w:rPr>
          <w:rFonts w:hint="eastAsia" w:ascii="宋体" w:hAnsi="宋体" w:eastAsia="宋体" w:cs="宋体"/>
          <w:sz w:val="30"/>
          <w:szCs w:val="30"/>
        </w:rPr>
        <w:t>书　记　员　　陶　玥</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附：相关法律条文</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《中华人民共和国行政诉讼法》</w:t>
      </w:r>
    </w:p>
    <w:p>
      <w:pPr>
        <w:keepNext w:val="0"/>
        <w:keepLines w:val="0"/>
        <w:widowControl/>
        <w:suppressLineNumbers w:val="0"/>
        <w:spacing w:before="10" w:beforeAutospacing="0" w:after="10" w:afterAutospacing="0" w:line="500" w:lineRule="atLeast"/>
        <w:ind w:left="0" w:right="0" w:firstLine="600"/>
        <w:jc w:val="left"/>
        <w:rPr>
          <w:rFonts w:hint="eastAsia" w:ascii="宋体" w:hAnsi="宋体" w:eastAsia="宋体" w:cs="宋体"/>
          <w:sz w:val="30"/>
          <w:szCs w:val="30"/>
        </w:rPr>
      </w:pPr>
      <w:r>
        <w:rPr>
          <w:rFonts w:hint="eastAsia" w:ascii="宋体" w:hAnsi="宋体" w:eastAsia="宋体" w:cs="宋体"/>
          <w:sz w:val="30"/>
          <w:szCs w:val="30"/>
        </w:rPr>
        <w:t>第六十九条行政行为证据确凿，适用法律、法规正确，符合法定程序的，或者原告申请被告履行法定职责或者给付义务理由不成立的，人民法院判决驳回原告的诉讼请求。</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728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2021-11-13T09:44:07Z</dcterms:created>
  <dc:creator>Administrator</dc:creator>
  <cp:lastModifiedBy>兜兜有糖</cp:lastModifiedBy>
  <dcterms:modified xsi:type="dcterms:W3CDTF">2021-11-13T09:44:44Z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A0426C6BABE744888C5A7FDFD18DA0BE</vt:lpwstr>
  </property>
</Properties>
</file>