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bookmarkStart w:id="0" w:name="_Toc10013"/>
      <w:bookmarkStart w:id="1" w:name="_Toc24211"/>
      <w:bookmarkStart w:id="27" w:name="_GoBack"/>
      <w:bookmarkEnd w:id="27"/>
    </w:p>
    <w:p>
      <w:pPr>
        <w:bidi w:val="0"/>
      </w:pPr>
    </w:p>
    <w:p>
      <w:pPr>
        <w:bidi w:val="0"/>
      </w:pPr>
    </w:p>
    <w:p>
      <w:pPr>
        <w:bidi w:val="0"/>
      </w:pPr>
    </w:p>
    <w:p>
      <w:pPr>
        <w:bidi w:val="0"/>
      </w:pPr>
      <w:r>
        <w:drawing>
          <wp:inline distT="0" distB="0" distL="114300" distR="114300">
            <wp:extent cx="5271135" cy="1755140"/>
            <wp:effectExtent l="0" t="0" r="1206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1135" cy="1755140"/>
                    </a:xfrm>
                    <a:prstGeom prst="rect">
                      <a:avLst/>
                    </a:prstGeom>
                    <a:noFill/>
                    <a:ln>
                      <a:noFill/>
                    </a:ln>
                  </pic:spPr>
                </pic:pic>
              </a:graphicData>
            </a:graphic>
          </wp:inline>
        </w:drawing>
      </w:r>
      <w:bookmarkEnd w:id="0"/>
      <w:bookmarkEnd w:id="1"/>
      <w:bookmarkStart w:id="2" w:name="_Toc30998"/>
      <w:bookmarkStart w:id="3" w:name="_Toc2891"/>
      <w:bookmarkStart w:id="4" w:name="_Toc25481"/>
    </w:p>
    <w:p>
      <w:pPr>
        <w:bidi w:val="0"/>
      </w:pPr>
    </w:p>
    <w:p>
      <w:pPr>
        <w:bidi w:val="0"/>
      </w:pPr>
    </w:p>
    <w:p>
      <w:pPr>
        <w:bidi w:val="0"/>
      </w:pPr>
    </w:p>
    <w:p>
      <w:pPr>
        <w:bidi w:val="0"/>
      </w:pPr>
    </w:p>
    <w:p>
      <w:pPr>
        <w:bidi w:val="0"/>
      </w:pPr>
    </w:p>
    <w:p>
      <w:pPr>
        <w:bidi w:val="0"/>
      </w:pPr>
    </w:p>
    <w:p>
      <w:pPr>
        <w:jc w:val="center"/>
        <w:outlineLvl w:val="0"/>
        <w:rPr>
          <w:rFonts w:hint="eastAsia" w:eastAsiaTheme="minorEastAsia"/>
          <w:sz w:val="44"/>
          <w:szCs w:val="44"/>
          <w:lang w:eastAsia="zh-CN"/>
        </w:rPr>
      </w:pPr>
      <w:bookmarkStart w:id="5" w:name="_Toc11493"/>
      <w:r>
        <w:rPr>
          <w:rFonts w:hint="eastAsia"/>
          <w:sz w:val="44"/>
          <w:szCs w:val="44"/>
          <w:lang w:val="en-US" w:eastAsia="zh-CN"/>
        </w:rPr>
        <w:t>矿业权</w:t>
      </w:r>
      <w:r>
        <w:rPr>
          <w:rFonts w:hint="eastAsia"/>
          <w:sz w:val="44"/>
          <w:szCs w:val="44"/>
        </w:rPr>
        <w:t>交易</w:t>
      </w:r>
      <w:bookmarkEnd w:id="2"/>
      <w:bookmarkEnd w:id="3"/>
      <w:bookmarkEnd w:id="4"/>
      <w:bookmarkEnd w:id="5"/>
      <w:r>
        <w:rPr>
          <w:rFonts w:hint="eastAsia"/>
          <w:sz w:val="44"/>
          <w:szCs w:val="44"/>
          <w:lang w:eastAsia="zh-CN"/>
        </w:rPr>
        <w:t>服务指南</w:t>
      </w:r>
    </w:p>
    <w:p>
      <w:pPr>
        <w:jc w:val="center"/>
        <w:rPr>
          <w:rFonts w:hint="eastAsia"/>
          <w:sz w:val="44"/>
          <w:szCs w:val="44"/>
        </w:rPr>
      </w:pPr>
      <w:r>
        <w:rPr>
          <w:rFonts w:hint="eastAsia"/>
          <w:sz w:val="44"/>
          <w:szCs w:val="44"/>
        </w:rPr>
        <w:t>（</w:t>
      </w:r>
      <w:r>
        <w:rPr>
          <w:rFonts w:hint="eastAsia"/>
          <w:sz w:val="44"/>
          <w:szCs w:val="44"/>
          <w:lang w:val="en-US" w:eastAsia="zh-CN"/>
        </w:rPr>
        <w:t>竞买人</w:t>
      </w:r>
      <w:r>
        <w:rPr>
          <w:rFonts w:hint="eastAsia"/>
          <w:sz w:val="44"/>
          <w:szCs w:val="44"/>
        </w:rPr>
        <w:t>）</w:t>
      </w: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both"/>
        <w:rPr>
          <w:rFonts w:hint="eastAsia"/>
          <w:sz w:val="44"/>
          <w:szCs w:val="44"/>
        </w:rPr>
      </w:pPr>
    </w:p>
    <w:p>
      <w:pPr>
        <w:jc w:val="center"/>
        <w:rPr>
          <w:sz w:val="32"/>
          <w:szCs w:val="32"/>
        </w:rPr>
      </w:pPr>
      <w:r>
        <w:rPr>
          <w:rFonts w:hint="eastAsia"/>
          <w:sz w:val="32"/>
          <w:szCs w:val="32"/>
        </w:rPr>
        <w:t>202</w:t>
      </w:r>
      <w:r>
        <w:rPr>
          <w:rFonts w:hint="eastAsia"/>
          <w:sz w:val="32"/>
          <w:szCs w:val="32"/>
          <w:lang w:val="en-US" w:eastAsia="zh-CN"/>
        </w:rPr>
        <w:t>3年</w:t>
      </w:r>
      <w:r>
        <w:rPr>
          <w:rFonts w:hint="eastAsia"/>
          <w:sz w:val="32"/>
          <w:szCs w:val="32"/>
        </w:rPr>
        <w:t>0</w:t>
      </w:r>
      <w:r>
        <w:rPr>
          <w:rFonts w:hint="eastAsia"/>
          <w:sz w:val="32"/>
          <w:szCs w:val="32"/>
          <w:lang w:val="en-US" w:eastAsia="zh-CN"/>
        </w:rPr>
        <w:t>1月</w:t>
      </w:r>
    </w:p>
    <w:p>
      <w:pPr>
        <w:jc w:val="center"/>
        <w:rPr>
          <w:rFonts w:hint="eastAsia"/>
          <w:sz w:val="44"/>
          <w:szCs w:val="44"/>
        </w:rPr>
      </w:pPr>
    </w:p>
    <w:p>
      <w:pPr>
        <w:jc w:val="both"/>
        <w:rPr>
          <w:rFonts w:hint="eastAsia"/>
          <w:sz w:val="44"/>
          <w:szCs w:val="44"/>
        </w:rPr>
      </w:pPr>
    </w:p>
    <w:p>
      <w:pPr>
        <w:jc w:val="both"/>
        <w:rPr>
          <w:rFonts w:hint="eastAsia" w:ascii="宋体" w:hAnsi="宋体" w:eastAsia="宋体" w:cs="宋体"/>
          <w:sz w:val="32"/>
          <w:szCs w:val="32"/>
        </w:rPr>
      </w:pPr>
    </w:p>
    <w:sdt>
      <w:sdtPr>
        <w:rPr>
          <w:rFonts w:hint="eastAsia" w:ascii="宋体" w:hAnsi="宋体" w:eastAsia="宋体" w:cs="宋体"/>
          <w:b/>
          <w:bCs/>
          <w:kern w:val="2"/>
          <w:sz w:val="32"/>
          <w:szCs w:val="32"/>
          <w:lang w:val="en-US" w:eastAsia="zh-CN" w:bidi="ar-SA"/>
        </w:rPr>
        <w:id w:val="147473146"/>
        <w15:color w:val="DBDBDB"/>
        <w:docPartObj>
          <w:docPartGallery w:val="Table of Contents"/>
          <w:docPartUnique/>
        </w:docPartObj>
      </w:sdtPr>
      <w:sdtEndPr>
        <w:rPr>
          <w:rFonts w:hint="eastAsia" w:ascii="仿宋" w:hAnsi="仿宋" w:eastAsia="仿宋" w:cs="仿宋"/>
          <w:b/>
          <w:bCs/>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sz w:val="32"/>
              <w:szCs w:val="32"/>
            </w:rPr>
          </w:pPr>
          <w:r>
            <w:rPr>
              <w:rFonts w:hint="eastAsia" w:ascii="仿宋" w:hAnsi="仿宋" w:eastAsia="仿宋" w:cs="仿宋"/>
              <w:b/>
              <w:bCs/>
              <w:sz w:val="32"/>
              <w:szCs w:val="32"/>
            </w:rPr>
            <w:t>目录</w:t>
          </w:r>
        </w:p>
        <w:p>
          <w:pPr>
            <w:pStyle w:val="15"/>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szCs w:val="28"/>
            </w:rPr>
            <w:fldChar w:fldCharType="begin"/>
          </w:r>
          <w:r>
            <w:rPr>
              <w:rFonts w:hint="eastAsia" w:ascii="仿宋" w:hAnsi="仿宋" w:eastAsia="仿宋" w:cs="仿宋"/>
              <w:szCs w:val="28"/>
            </w:rPr>
            <w:instrText xml:space="preserve"> HYPERLINK \l _Toc11493 </w:instrText>
          </w:r>
          <w:r>
            <w:rPr>
              <w:rFonts w:hint="eastAsia" w:ascii="仿宋" w:hAnsi="仿宋" w:eastAsia="仿宋" w:cs="仿宋"/>
              <w:szCs w:val="28"/>
            </w:rPr>
            <w:fldChar w:fldCharType="separate"/>
          </w:r>
          <w:r>
            <w:rPr>
              <w:rFonts w:hint="eastAsia"/>
              <w:szCs w:val="44"/>
              <w:lang w:val="en-US" w:eastAsia="zh-CN"/>
            </w:rPr>
            <w:t>矿业权</w:t>
          </w:r>
          <w:r>
            <w:rPr>
              <w:rFonts w:hint="eastAsia"/>
              <w:szCs w:val="44"/>
            </w:rPr>
            <w:t>交易</w:t>
          </w:r>
          <w:r>
            <w:rPr>
              <w:rFonts w:hint="eastAsia"/>
              <w:szCs w:val="44"/>
              <w:lang w:eastAsia="zh-CN"/>
            </w:rPr>
            <w:t>服务指南</w:t>
          </w:r>
          <w:r>
            <w:tab/>
          </w:r>
          <w:r>
            <w:fldChar w:fldCharType="begin"/>
          </w:r>
          <w:r>
            <w:instrText xml:space="preserve"> PAGEREF _Toc11493 \h </w:instrText>
          </w:r>
          <w:r>
            <w:fldChar w:fldCharType="separate"/>
          </w:r>
          <w:r>
            <w:t>1</w:t>
          </w:r>
          <w:r>
            <w:fldChar w:fldCharType="end"/>
          </w:r>
          <w:r>
            <w:rPr>
              <w:rFonts w:hint="eastAsia" w:ascii="仿宋" w:hAnsi="仿宋" w:eastAsia="仿宋" w:cs="仿宋"/>
              <w:szCs w:val="28"/>
            </w:rPr>
            <w:fldChar w:fldCharType="end"/>
          </w:r>
        </w:p>
        <w:p>
          <w:pPr>
            <w:pStyle w:val="15"/>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_Toc11117 </w:instrText>
          </w:r>
          <w:r>
            <w:rPr>
              <w:rFonts w:hint="eastAsia" w:ascii="仿宋" w:hAnsi="仿宋" w:eastAsia="仿宋" w:cs="仿宋"/>
              <w:szCs w:val="28"/>
            </w:rPr>
            <w:fldChar w:fldCharType="separate"/>
          </w:r>
          <w:r>
            <w:rPr>
              <w:rFonts w:hint="eastAsia"/>
              <w:bCs/>
              <w:lang w:val="en-US"/>
            </w:rPr>
            <w:t xml:space="preserve">一、 </w:t>
          </w:r>
          <w:r>
            <w:rPr>
              <w:rFonts w:hint="eastAsia"/>
              <w:bCs/>
              <w:lang w:val="en-US" w:eastAsia="zh-CN"/>
            </w:rPr>
            <w:t>使用准备</w:t>
          </w:r>
          <w:r>
            <w:tab/>
          </w:r>
          <w:r>
            <w:fldChar w:fldCharType="begin"/>
          </w:r>
          <w:r>
            <w:instrText xml:space="preserve"> PAGEREF _Toc11117 \h </w:instrText>
          </w:r>
          <w:r>
            <w:fldChar w:fldCharType="separate"/>
          </w:r>
          <w:r>
            <w:t>3</w:t>
          </w:r>
          <w:r>
            <w:fldChar w:fldCharType="end"/>
          </w:r>
          <w:r>
            <w:rPr>
              <w:rFonts w:hint="eastAsia" w:ascii="仿宋" w:hAnsi="仿宋" w:eastAsia="仿宋" w:cs="仿宋"/>
              <w:szCs w:val="28"/>
            </w:rPr>
            <w:fldChar w:fldCharType="end"/>
          </w:r>
        </w:p>
        <w:p>
          <w:pPr>
            <w:pStyle w:val="15"/>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_Toc28219 </w:instrText>
          </w:r>
          <w:r>
            <w:rPr>
              <w:rFonts w:hint="eastAsia" w:ascii="仿宋" w:hAnsi="仿宋" w:eastAsia="仿宋" w:cs="仿宋"/>
              <w:szCs w:val="28"/>
            </w:rPr>
            <w:fldChar w:fldCharType="separate"/>
          </w:r>
          <w:r>
            <w:rPr>
              <w:rFonts w:hint="eastAsia"/>
              <w:bCs/>
              <w:lang w:val="en-US" w:eastAsia="zh-CN"/>
            </w:rPr>
            <w:t>二、 系统登录</w:t>
          </w:r>
          <w:r>
            <w:tab/>
          </w:r>
          <w:r>
            <w:fldChar w:fldCharType="begin"/>
          </w:r>
          <w:r>
            <w:instrText xml:space="preserve"> PAGEREF _Toc28219 \h </w:instrText>
          </w:r>
          <w:r>
            <w:fldChar w:fldCharType="separate"/>
          </w:r>
          <w:r>
            <w:t>3</w:t>
          </w:r>
          <w:r>
            <w:fldChar w:fldCharType="end"/>
          </w:r>
          <w:r>
            <w:rPr>
              <w:rFonts w:hint="eastAsia" w:ascii="仿宋" w:hAnsi="仿宋" w:eastAsia="仿宋" w:cs="仿宋"/>
              <w:szCs w:val="28"/>
            </w:rPr>
            <w:fldChar w:fldCharType="end"/>
          </w:r>
        </w:p>
        <w:p>
          <w:pPr>
            <w:pStyle w:val="15"/>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_Toc30095 </w:instrText>
          </w:r>
          <w:r>
            <w:rPr>
              <w:rFonts w:hint="eastAsia" w:ascii="仿宋" w:hAnsi="仿宋" w:eastAsia="仿宋" w:cs="仿宋"/>
              <w:szCs w:val="28"/>
            </w:rPr>
            <w:fldChar w:fldCharType="separate"/>
          </w:r>
          <w:r>
            <w:rPr>
              <w:rFonts w:hint="eastAsia" w:ascii="仿宋" w:hAnsi="仿宋" w:eastAsia="仿宋" w:cs="仿宋"/>
              <w:szCs w:val="28"/>
              <w:lang w:val="en-US"/>
            </w:rPr>
            <w:t xml:space="preserve">三、 </w:t>
          </w:r>
          <w:r>
            <w:rPr>
              <w:rFonts w:hint="eastAsia" w:ascii="仿宋" w:hAnsi="仿宋" w:eastAsia="仿宋" w:cs="仿宋"/>
              <w:szCs w:val="28"/>
            </w:rPr>
            <w:t>申购报价</w:t>
          </w:r>
          <w:r>
            <w:rPr>
              <w:rFonts w:hint="eastAsia" w:ascii="仿宋" w:hAnsi="仿宋" w:eastAsia="仿宋" w:cs="仿宋"/>
              <w:szCs w:val="28"/>
              <w:lang w:val="en-US" w:eastAsia="zh-CN"/>
            </w:rPr>
            <w:t>及文件上传</w:t>
          </w:r>
          <w:r>
            <w:tab/>
          </w:r>
          <w:r>
            <w:fldChar w:fldCharType="begin"/>
          </w:r>
          <w:r>
            <w:instrText xml:space="preserve"> PAGEREF _Toc30095 \h </w:instrText>
          </w:r>
          <w:r>
            <w:fldChar w:fldCharType="separate"/>
          </w:r>
          <w:r>
            <w:t>4</w:t>
          </w:r>
          <w:r>
            <w:fldChar w:fldCharType="end"/>
          </w:r>
          <w:r>
            <w:rPr>
              <w:rFonts w:hint="eastAsia" w:ascii="仿宋" w:hAnsi="仿宋" w:eastAsia="仿宋" w:cs="仿宋"/>
              <w:szCs w:val="28"/>
            </w:rPr>
            <w:fldChar w:fldCharType="end"/>
          </w:r>
        </w:p>
        <w:p>
          <w:pPr>
            <w:pStyle w:val="16"/>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_Toc3976 </w:instrText>
          </w:r>
          <w:r>
            <w:rPr>
              <w:rFonts w:hint="eastAsia" w:ascii="仿宋" w:hAnsi="仿宋" w:eastAsia="仿宋" w:cs="仿宋"/>
              <w:szCs w:val="28"/>
            </w:rPr>
            <w:fldChar w:fldCharType="separate"/>
          </w:r>
          <w:r>
            <w:rPr>
              <w:rFonts w:hint="default" w:ascii="Times New Roman" w:hAnsi="Times New Roman" w:eastAsia="仿宋" w:cs="Times New Roman"/>
              <w:bCs w:val="0"/>
              <w:i w:val="0"/>
              <w:iCs w:val="0"/>
              <w:caps w:val="0"/>
              <w:smallCaps w:val="0"/>
              <w:strike w:val="0"/>
              <w:dstrike w:val="0"/>
              <w:spacing w:val="0"/>
              <w:position w:val="0"/>
              <w:szCs w:val="28"/>
            </w:rPr>
            <w:t xml:space="preserve">3.1、 </w:t>
          </w:r>
          <w:r>
            <w:rPr>
              <w:rFonts w:hint="eastAsia" w:ascii="仿宋" w:hAnsi="仿宋" w:eastAsia="仿宋" w:cs="仿宋"/>
              <w:szCs w:val="28"/>
            </w:rPr>
            <w:t>申购</w:t>
          </w:r>
          <w:r>
            <w:tab/>
          </w:r>
          <w:r>
            <w:fldChar w:fldCharType="begin"/>
          </w:r>
          <w:r>
            <w:instrText xml:space="preserve"> PAGEREF _Toc3976 \h </w:instrText>
          </w:r>
          <w:r>
            <w:fldChar w:fldCharType="separate"/>
          </w:r>
          <w:r>
            <w:t>4</w:t>
          </w:r>
          <w:r>
            <w:fldChar w:fldCharType="end"/>
          </w:r>
          <w:r>
            <w:rPr>
              <w:rFonts w:hint="eastAsia" w:ascii="仿宋" w:hAnsi="仿宋" w:eastAsia="仿宋" w:cs="仿宋"/>
              <w:szCs w:val="28"/>
            </w:rPr>
            <w:fldChar w:fldCharType="end"/>
          </w:r>
        </w:p>
        <w:p>
          <w:pPr>
            <w:pStyle w:val="16"/>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_Toc5165 </w:instrText>
          </w:r>
          <w:r>
            <w:rPr>
              <w:rFonts w:hint="eastAsia" w:ascii="仿宋" w:hAnsi="仿宋" w:eastAsia="仿宋" w:cs="仿宋"/>
              <w:szCs w:val="28"/>
            </w:rPr>
            <w:fldChar w:fldCharType="separate"/>
          </w:r>
          <w:r>
            <w:rPr>
              <w:rFonts w:hint="default" w:ascii="Times New Roman" w:hAnsi="Times New Roman" w:eastAsia="仿宋" w:cs="Times New Roman"/>
              <w:bCs w:val="0"/>
              <w:i w:val="0"/>
              <w:iCs w:val="0"/>
              <w:caps w:val="0"/>
              <w:smallCaps w:val="0"/>
              <w:strike w:val="0"/>
              <w:dstrike w:val="0"/>
              <w:spacing w:val="0"/>
              <w:position w:val="0"/>
              <w:szCs w:val="28"/>
            </w:rPr>
            <w:t xml:space="preserve">3.2、 </w:t>
          </w:r>
          <w:r>
            <w:rPr>
              <w:rFonts w:hint="eastAsia" w:ascii="仿宋" w:hAnsi="仿宋" w:eastAsia="仿宋" w:cs="仿宋"/>
              <w:szCs w:val="28"/>
              <w:lang w:val="en-US" w:eastAsia="zh-CN"/>
            </w:rPr>
            <w:t>参与</w:t>
          </w:r>
          <w:r>
            <w:rPr>
              <w:rFonts w:hint="eastAsia" w:ascii="仿宋" w:hAnsi="仿宋" w:eastAsia="仿宋" w:cs="仿宋"/>
              <w:szCs w:val="28"/>
            </w:rPr>
            <w:t>报价</w:t>
          </w:r>
          <w:r>
            <w:tab/>
          </w:r>
          <w:r>
            <w:fldChar w:fldCharType="begin"/>
          </w:r>
          <w:r>
            <w:instrText xml:space="preserve"> PAGEREF _Toc5165 \h </w:instrText>
          </w:r>
          <w:r>
            <w:fldChar w:fldCharType="separate"/>
          </w:r>
          <w:r>
            <w:t>8</w:t>
          </w:r>
          <w:r>
            <w:fldChar w:fldCharType="end"/>
          </w:r>
          <w:r>
            <w:rPr>
              <w:rFonts w:hint="eastAsia" w:ascii="仿宋" w:hAnsi="仿宋" w:eastAsia="仿宋" w:cs="仿宋"/>
              <w:szCs w:val="28"/>
            </w:rPr>
            <w:fldChar w:fldCharType="end"/>
          </w:r>
        </w:p>
        <w:p>
          <w:pPr>
            <w:pStyle w:val="16"/>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_Toc10051 </w:instrText>
          </w:r>
          <w:r>
            <w:rPr>
              <w:rFonts w:hint="eastAsia" w:ascii="仿宋" w:hAnsi="仿宋" w:eastAsia="仿宋" w:cs="仿宋"/>
              <w:szCs w:val="28"/>
            </w:rPr>
            <w:fldChar w:fldCharType="separate"/>
          </w:r>
          <w:r>
            <w:rPr>
              <w:rFonts w:hint="default" w:ascii="Times New Roman" w:hAnsi="Times New Roman" w:eastAsia="仿宋" w:cs="Times New Roman"/>
              <w:bCs w:val="0"/>
              <w:i w:val="0"/>
              <w:iCs w:val="0"/>
              <w:caps w:val="0"/>
              <w:smallCaps w:val="0"/>
              <w:strike w:val="0"/>
              <w:dstrike w:val="0"/>
              <w:spacing w:val="0"/>
              <w:position w:val="0"/>
              <w:szCs w:val="28"/>
              <w:lang w:val="en-US" w:eastAsia="zh-CN"/>
            </w:rPr>
            <w:t xml:space="preserve">3.3、 </w:t>
          </w:r>
          <w:r>
            <w:rPr>
              <w:rFonts w:hint="eastAsia" w:ascii="仿宋" w:hAnsi="仿宋" w:eastAsia="仿宋" w:cs="仿宋"/>
              <w:szCs w:val="28"/>
              <w:lang w:val="en-US" w:eastAsia="zh-CN"/>
            </w:rPr>
            <w:t>缴费凭证上传</w:t>
          </w:r>
          <w:r>
            <w:tab/>
          </w:r>
          <w:r>
            <w:fldChar w:fldCharType="begin"/>
          </w:r>
          <w:r>
            <w:instrText xml:space="preserve"> PAGEREF _Toc10051 \h </w:instrText>
          </w:r>
          <w:r>
            <w:fldChar w:fldCharType="separate"/>
          </w:r>
          <w:r>
            <w:t>10</w:t>
          </w:r>
          <w:r>
            <w:fldChar w:fldCharType="end"/>
          </w:r>
          <w:r>
            <w:rPr>
              <w:rFonts w:hint="eastAsia" w:ascii="仿宋" w:hAnsi="仿宋" w:eastAsia="仿宋" w:cs="仿宋"/>
              <w:szCs w:val="28"/>
            </w:rPr>
            <w:fldChar w:fldCharType="end"/>
          </w:r>
        </w:p>
        <w:p>
          <w:pPr>
            <w:pStyle w:val="16"/>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_Toc225 </w:instrText>
          </w:r>
          <w:r>
            <w:rPr>
              <w:rFonts w:hint="eastAsia" w:ascii="仿宋" w:hAnsi="仿宋" w:eastAsia="仿宋" w:cs="仿宋"/>
              <w:szCs w:val="28"/>
            </w:rPr>
            <w:fldChar w:fldCharType="separate"/>
          </w:r>
          <w:r>
            <w:rPr>
              <w:rFonts w:hint="default" w:ascii="Times New Roman" w:hAnsi="Times New Roman" w:eastAsia="仿宋" w:cs="Times New Roman"/>
              <w:bCs w:val="0"/>
              <w:i w:val="0"/>
              <w:iCs w:val="0"/>
              <w:caps w:val="0"/>
              <w:smallCaps w:val="0"/>
              <w:strike w:val="0"/>
              <w:dstrike w:val="0"/>
              <w:spacing w:val="0"/>
              <w:position w:val="0"/>
              <w:szCs w:val="28"/>
              <w:lang w:val="en-US" w:eastAsia="zh-CN"/>
            </w:rPr>
            <w:t xml:space="preserve">3.4、 </w:t>
          </w:r>
          <w:r>
            <w:rPr>
              <w:rFonts w:hint="eastAsia" w:ascii="仿宋" w:hAnsi="仿宋" w:eastAsia="仿宋" w:cs="仿宋"/>
              <w:szCs w:val="28"/>
              <w:lang w:val="en-US" w:eastAsia="zh-CN"/>
            </w:rPr>
            <w:t>成交确认书盖章</w:t>
          </w:r>
          <w:r>
            <w:tab/>
          </w:r>
          <w:r>
            <w:fldChar w:fldCharType="begin"/>
          </w:r>
          <w:r>
            <w:instrText xml:space="preserve"> PAGEREF _Toc225 \h </w:instrText>
          </w:r>
          <w:r>
            <w:fldChar w:fldCharType="separate"/>
          </w:r>
          <w:r>
            <w:t>10</w:t>
          </w:r>
          <w:r>
            <w:fldChar w:fldCharType="end"/>
          </w:r>
          <w:r>
            <w:rPr>
              <w:rFonts w:hint="eastAsia" w:ascii="仿宋" w:hAnsi="仿宋" w:eastAsia="仿宋" w:cs="仿宋"/>
              <w:szCs w:val="28"/>
            </w:rPr>
            <w:fldChar w:fldCharType="end"/>
          </w:r>
        </w:p>
        <w:p>
          <w:pPr>
            <w:pStyle w:val="16"/>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_Toc6548 </w:instrText>
          </w:r>
          <w:r>
            <w:rPr>
              <w:rFonts w:hint="eastAsia" w:ascii="仿宋" w:hAnsi="仿宋" w:eastAsia="仿宋" w:cs="仿宋"/>
              <w:szCs w:val="28"/>
            </w:rPr>
            <w:fldChar w:fldCharType="separate"/>
          </w:r>
          <w:r>
            <w:rPr>
              <w:rFonts w:hint="default" w:ascii="Times New Roman" w:hAnsi="Times New Roman" w:eastAsia="仿宋" w:cs="Times New Roman"/>
              <w:bCs w:val="0"/>
              <w:i w:val="0"/>
              <w:iCs w:val="0"/>
              <w:caps w:val="0"/>
              <w:smallCaps w:val="0"/>
              <w:strike w:val="0"/>
              <w:dstrike w:val="0"/>
              <w:spacing w:val="0"/>
              <w:position w:val="0"/>
              <w:szCs w:val="28"/>
              <w:lang w:val="en-US" w:eastAsia="zh-CN"/>
            </w:rPr>
            <w:t xml:space="preserve">3.5、 </w:t>
          </w:r>
          <w:r>
            <w:rPr>
              <w:rFonts w:hint="eastAsia" w:ascii="仿宋" w:hAnsi="仿宋" w:eastAsia="仿宋" w:cs="仿宋"/>
              <w:szCs w:val="28"/>
              <w:lang w:val="en-US" w:eastAsia="zh-CN"/>
            </w:rPr>
            <w:t>缴款凭证上传</w:t>
          </w:r>
          <w:r>
            <w:tab/>
          </w:r>
          <w:r>
            <w:fldChar w:fldCharType="begin"/>
          </w:r>
          <w:r>
            <w:instrText xml:space="preserve"> PAGEREF _Toc6548 \h </w:instrText>
          </w:r>
          <w:r>
            <w:fldChar w:fldCharType="separate"/>
          </w:r>
          <w:r>
            <w:t>11</w:t>
          </w:r>
          <w:r>
            <w:fldChar w:fldCharType="end"/>
          </w:r>
          <w:r>
            <w:rPr>
              <w:rFonts w:hint="eastAsia" w:ascii="仿宋" w:hAnsi="仿宋" w:eastAsia="仿宋" w:cs="仿宋"/>
              <w:szCs w:val="28"/>
            </w:rPr>
            <w:fldChar w:fldCharType="end"/>
          </w:r>
        </w:p>
        <w:p>
          <w:pPr>
            <w:pStyle w:val="15"/>
            <w:tabs>
              <w:tab w:val="right" w:leader="dot" w:pos="8306"/>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_Toc1099 </w:instrText>
          </w:r>
          <w:r>
            <w:rPr>
              <w:rFonts w:hint="eastAsia" w:ascii="仿宋" w:hAnsi="仿宋" w:eastAsia="仿宋" w:cs="仿宋"/>
              <w:szCs w:val="28"/>
            </w:rPr>
            <w:fldChar w:fldCharType="separate"/>
          </w:r>
          <w:r>
            <w:rPr>
              <w:rFonts w:hint="eastAsia" w:ascii="仿宋" w:hAnsi="仿宋" w:eastAsia="仿宋" w:cs="仿宋"/>
              <w:szCs w:val="28"/>
              <w:lang w:val="en-US" w:eastAsia="zh-CN"/>
            </w:rPr>
            <w:t>四、 我的文档</w:t>
          </w:r>
          <w:r>
            <w:tab/>
          </w:r>
          <w:r>
            <w:fldChar w:fldCharType="begin"/>
          </w:r>
          <w:r>
            <w:instrText xml:space="preserve"> PAGEREF _Toc1099 \h </w:instrText>
          </w:r>
          <w:r>
            <w:fldChar w:fldCharType="separate"/>
          </w:r>
          <w:r>
            <w:t>11</w:t>
          </w:r>
          <w:r>
            <w:fldChar w:fldCharType="end"/>
          </w:r>
          <w:r>
            <w:rPr>
              <w:rFonts w:hint="eastAsia" w:ascii="仿宋" w:hAnsi="仿宋" w:eastAsia="仿宋" w:cs="仿宋"/>
              <w:szCs w:val="28"/>
            </w:rPr>
            <w:fldChar w:fldCharType="end"/>
          </w:r>
        </w:p>
        <w:p>
          <w:pPr>
            <w:jc w:val="both"/>
            <w:rPr>
              <w:rFonts w:hint="eastAsia" w:ascii="仿宋" w:hAnsi="仿宋" w:eastAsia="仿宋" w:cs="仿宋"/>
              <w:sz w:val="28"/>
              <w:szCs w:val="28"/>
            </w:rPr>
          </w:pPr>
          <w:r>
            <w:rPr>
              <w:rFonts w:hint="eastAsia" w:ascii="仿宋" w:hAnsi="仿宋" w:eastAsia="仿宋" w:cs="仿宋"/>
              <w:szCs w:val="28"/>
            </w:rPr>
            <w:fldChar w:fldCharType="end"/>
          </w:r>
        </w:p>
      </w:sdtContent>
    </w:sdt>
    <w:p>
      <w:pPr>
        <w:rPr>
          <w:rFonts w:hint="eastAsia" w:ascii="仿宋" w:hAnsi="仿宋" w:eastAsia="仿宋" w:cs="仿宋"/>
          <w:sz w:val="28"/>
          <w:szCs w:val="28"/>
        </w:rPr>
      </w:pPr>
      <w:r>
        <w:rPr>
          <w:rFonts w:hint="eastAsia" w:ascii="仿宋" w:hAnsi="仿宋" w:eastAsia="仿宋" w:cs="仿宋"/>
          <w:sz w:val="28"/>
          <w:szCs w:val="28"/>
        </w:rPr>
        <w:br w:type="page"/>
      </w:r>
    </w:p>
    <w:p>
      <w:pPr>
        <w:pStyle w:val="2"/>
        <w:rPr>
          <w:rFonts w:hint="eastAsia"/>
          <w:b/>
          <w:bCs/>
        </w:rPr>
      </w:pPr>
      <w:bookmarkStart w:id="6" w:name="_Toc3830"/>
      <w:bookmarkStart w:id="7" w:name="_Toc11117"/>
      <w:bookmarkStart w:id="8" w:name="_Toc23604"/>
      <w:bookmarkStart w:id="9" w:name="_Toc3297"/>
      <w:bookmarkStart w:id="10" w:name="_Toc13849"/>
      <w:bookmarkStart w:id="11" w:name="_Toc97"/>
      <w:r>
        <w:rPr>
          <w:rFonts w:hint="eastAsia"/>
          <w:b/>
          <w:bCs/>
          <w:lang w:val="en-US" w:eastAsia="zh-CN"/>
        </w:rPr>
        <w:t>使用准备</w:t>
      </w:r>
      <w:bookmarkEnd w:id="6"/>
      <w:bookmarkEnd w:id="7"/>
      <w:bookmarkEnd w:id="8"/>
      <w:bookmarkEnd w:id="9"/>
      <w:bookmarkEnd w:id="10"/>
    </w:p>
    <w:p>
      <w:pPr>
        <w:bidi w:val="0"/>
        <w:spacing w:line="360" w:lineRule="auto"/>
      </w:pPr>
      <w:r>
        <w:rPr>
          <w:rFonts w:hint="eastAsia" w:ascii="宋体" w:hAnsi="宋体" w:eastAsia="宋体" w:cs="宋体"/>
          <w:b w:val="0"/>
          <w:bCs w:val="0"/>
          <w:color w:val="000000"/>
          <w:kern w:val="2"/>
          <w:sz w:val="24"/>
          <w:szCs w:val="24"/>
          <w:lang w:val="en-US" w:eastAsia="zh-CN"/>
        </w:rPr>
        <w:t xml:space="preserve">    详见《湖南省公共资源交易中心-电子交易系统使用准备服务指南》，</w:t>
      </w:r>
      <w:r>
        <w:rPr>
          <w:rFonts w:hint="eastAsia" w:ascii="宋体" w:hAnsi="宋体" w:eastAsia="宋体" w:cs="宋体"/>
          <w:b w:val="0"/>
          <w:bCs w:val="0"/>
          <w:color w:val="000000"/>
          <w:kern w:val="2"/>
          <w:sz w:val="24"/>
          <w:szCs w:val="24"/>
        </w:rPr>
        <w:t>登录</w:t>
      </w:r>
      <w:r>
        <w:rPr>
          <w:rFonts w:hint="eastAsia" w:ascii="宋体" w:hAnsi="宋体" w:eastAsia="宋体" w:cs="宋体"/>
          <w:b w:val="0"/>
          <w:bCs w:val="0"/>
          <w:color w:val="000000"/>
          <w:kern w:val="2"/>
          <w:sz w:val="24"/>
          <w:szCs w:val="24"/>
          <w:lang w:eastAsia="zh-CN"/>
        </w:rPr>
        <w:t>“</w:t>
      </w:r>
      <w:r>
        <w:rPr>
          <w:rFonts w:hint="eastAsia" w:ascii="宋体" w:hAnsi="宋体" w:eastAsia="宋体" w:cs="宋体"/>
          <w:b w:val="0"/>
          <w:bCs w:val="0"/>
          <w:color w:val="000000"/>
          <w:kern w:val="2"/>
          <w:sz w:val="24"/>
          <w:szCs w:val="24"/>
        </w:rPr>
        <w:t>湖南省公共资源交易中心网站（http</w:t>
      </w:r>
      <w:r>
        <w:rPr>
          <w:rFonts w:hint="eastAsia" w:ascii="宋体" w:hAnsi="宋体" w:eastAsia="宋体" w:cs="宋体"/>
          <w:b w:val="0"/>
          <w:bCs w:val="0"/>
          <w:color w:val="000000"/>
          <w:kern w:val="2"/>
          <w:sz w:val="24"/>
          <w:szCs w:val="24"/>
          <w:lang w:val="en-US" w:eastAsia="zh-CN"/>
        </w:rPr>
        <w:t>s</w:t>
      </w:r>
      <w:r>
        <w:rPr>
          <w:rFonts w:hint="eastAsia" w:ascii="宋体" w:hAnsi="宋体" w:eastAsia="宋体" w:cs="宋体"/>
          <w:b w:val="0"/>
          <w:bCs w:val="0"/>
          <w:color w:val="000000"/>
          <w:kern w:val="2"/>
          <w:sz w:val="24"/>
          <w:szCs w:val="24"/>
        </w:rPr>
        <w:t>://ggzy.hunan.gov.cn/）-下载中心</w:t>
      </w:r>
      <w:r>
        <w:rPr>
          <w:rFonts w:hint="eastAsia" w:ascii="宋体" w:hAnsi="宋体" w:eastAsia="宋体" w:cs="宋体"/>
          <w:b w:val="0"/>
          <w:bCs w:val="0"/>
          <w:color w:val="000000"/>
          <w:kern w:val="2"/>
          <w:sz w:val="24"/>
          <w:szCs w:val="24"/>
          <w:u w:val="none"/>
          <w:lang w:eastAsia="zh-CN"/>
        </w:rPr>
        <w:t>”</w:t>
      </w:r>
      <w:bookmarkEnd w:id="11"/>
      <w:r>
        <w:rPr>
          <w:rStyle w:val="26"/>
          <w:rFonts w:hint="eastAsia" w:ascii="宋体" w:hAnsi="宋体" w:eastAsia="宋体" w:cs="宋体"/>
          <w:color w:val="000000"/>
          <w:kern w:val="0"/>
          <w:sz w:val="24"/>
          <w:szCs w:val="24"/>
          <w:u w:val="none"/>
          <w:lang w:val="en-US" w:eastAsia="zh-CN"/>
        </w:rPr>
        <w:t>获取。</w:t>
      </w:r>
    </w:p>
    <w:p>
      <w:pPr>
        <w:pStyle w:val="2"/>
        <w:rPr>
          <w:rFonts w:hint="eastAsia"/>
          <w:b/>
          <w:bCs/>
          <w:lang w:val="en-US" w:eastAsia="zh-CN"/>
        </w:rPr>
      </w:pPr>
      <w:bookmarkStart w:id="12" w:name="_Toc13583"/>
      <w:bookmarkStart w:id="13" w:name="_Toc25282"/>
      <w:bookmarkStart w:id="14" w:name="_Toc6725"/>
      <w:bookmarkStart w:id="15" w:name="_Toc28219"/>
      <w:bookmarkStart w:id="16" w:name="_Toc27093"/>
      <w:bookmarkStart w:id="17" w:name="_Toc22817"/>
      <w:bookmarkStart w:id="18" w:name="_Toc8733"/>
      <w:bookmarkStart w:id="19" w:name="_Toc15134"/>
      <w:r>
        <w:rPr>
          <w:rFonts w:hint="eastAsia"/>
          <w:b/>
          <w:bCs/>
          <w:lang w:val="en-US" w:eastAsia="zh-CN"/>
        </w:rPr>
        <w:t>系统登录</w:t>
      </w:r>
      <w:bookmarkEnd w:id="12"/>
      <w:bookmarkEnd w:id="13"/>
      <w:bookmarkEnd w:id="14"/>
      <w:bookmarkEnd w:id="15"/>
      <w:bookmarkEnd w:id="16"/>
      <w:bookmarkEnd w:id="17"/>
      <w:bookmarkEnd w:id="18"/>
      <w:bookmarkEnd w:id="19"/>
    </w:p>
    <w:p>
      <w:pPr>
        <w:rPr>
          <w:rFonts w:hint="eastAsia" w:ascii="宋体" w:hAnsi="宋体" w:eastAsia="宋体" w:cs="宋体"/>
          <w:color w:val="000000"/>
          <w:sz w:val="24"/>
          <w:szCs w:val="24"/>
        </w:rPr>
      </w:pPr>
      <w:r>
        <w:rPr>
          <w:rFonts w:hint="eastAsia" w:ascii="宋体" w:hAnsi="宋体" w:eastAsia="宋体" w:cs="宋体"/>
          <w:color w:val="000000"/>
          <w:sz w:val="24"/>
          <w:szCs w:val="24"/>
        </w:rPr>
        <w:t>登录湖南省公共资源交易服务平台（http://www.hnsggzy.com/），点击“登录交易平台”。</w:t>
      </w:r>
    </w:p>
    <w:p>
      <w:pPr>
        <w:jc w:val="center"/>
        <w:rPr>
          <w:rFonts w:hint="eastAsia" w:ascii="宋体" w:hAnsi="宋体" w:eastAsia="宋体" w:cs="宋体"/>
          <w:color w:val="000000"/>
          <w:spacing w:val="4"/>
          <w:sz w:val="24"/>
          <w:szCs w:val="24"/>
        </w:rPr>
      </w:pPr>
      <w:r>
        <w:rPr>
          <w:rFonts w:hint="eastAsia" w:ascii="宋体" w:hAnsi="宋体" w:eastAsia="宋体" w:cs="宋体"/>
          <w:color w:val="000000"/>
          <w:spacing w:val="4"/>
          <w:sz w:val="24"/>
          <w:szCs w:val="24"/>
        </w:rPr>
        <w:drawing>
          <wp:inline distT="0" distB="0" distL="114300" distR="114300">
            <wp:extent cx="4654550" cy="2108200"/>
            <wp:effectExtent l="0" t="0" r="1270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
                    <a:srcRect b="21965"/>
                    <a:stretch>
                      <a:fillRect/>
                    </a:stretch>
                  </pic:blipFill>
                  <pic:spPr>
                    <a:xfrm>
                      <a:off x="0" y="0"/>
                      <a:ext cx="4654550" cy="2108200"/>
                    </a:xfrm>
                    <a:prstGeom prst="rect">
                      <a:avLst/>
                    </a:prstGeom>
                    <a:noFill/>
                    <a:ln>
                      <a:noFill/>
                    </a:ln>
                  </pic:spPr>
                </pic:pic>
              </a:graphicData>
            </a:graphic>
          </wp:inline>
        </w:drawing>
      </w:r>
    </w:p>
    <w:p>
      <w:pPr>
        <w:rPr>
          <w:rFonts w:hint="eastAsia" w:ascii="宋体" w:hAnsi="宋体" w:eastAsia="宋体" w:cs="宋体"/>
          <w:color w:val="000000"/>
          <w:sz w:val="24"/>
          <w:szCs w:val="24"/>
        </w:rPr>
      </w:pPr>
      <w:r>
        <w:rPr>
          <w:rFonts w:hint="eastAsia" w:ascii="宋体" w:hAnsi="宋体" w:eastAsia="宋体" w:cs="宋体"/>
          <w:color w:val="000000"/>
          <w:sz w:val="24"/>
          <w:szCs w:val="24"/>
        </w:rPr>
        <w:t>选择对应模块进入</w:t>
      </w:r>
    </w:p>
    <w:p>
      <w:pPr>
        <w:spacing w:line="360" w:lineRule="auto"/>
        <w:jc w:val="left"/>
        <w:rPr>
          <w:rFonts w:hint="eastAsia" w:ascii="宋体" w:hAnsi="宋体" w:eastAsia="宋体" w:cs="宋体"/>
          <w:color w:val="000000"/>
          <w:sz w:val="24"/>
          <w:szCs w:val="24"/>
        </w:rPr>
      </w:pPr>
      <w:r>
        <w:drawing>
          <wp:inline distT="0" distB="0" distL="114300" distR="114300">
            <wp:extent cx="5268595" cy="2279650"/>
            <wp:effectExtent l="0" t="0" r="8255"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
                    <a:stretch>
                      <a:fillRect/>
                    </a:stretch>
                  </pic:blipFill>
                  <pic:spPr>
                    <a:xfrm>
                      <a:off x="0" y="0"/>
                      <a:ext cx="5268595" cy="2279650"/>
                    </a:xfrm>
                    <a:prstGeom prst="rect">
                      <a:avLst/>
                    </a:prstGeom>
                    <a:noFill/>
                    <a:ln>
                      <a:noFill/>
                    </a:ln>
                  </pic:spPr>
                </pic:pic>
              </a:graphicData>
            </a:graphic>
          </wp:inline>
        </w:drawing>
      </w:r>
    </w:p>
    <w:p>
      <w:pPr>
        <w:spacing w:line="360" w:lineRule="auto"/>
        <w:jc w:val="left"/>
      </w:pPr>
      <w:r>
        <w:drawing>
          <wp:inline distT="0" distB="0" distL="114300" distR="114300">
            <wp:extent cx="5262245" cy="2296795"/>
            <wp:effectExtent l="0" t="0" r="14605"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7" cstate="print"/>
                    <a:stretch>
                      <a:fillRect/>
                    </a:stretch>
                  </pic:blipFill>
                  <pic:spPr>
                    <a:xfrm>
                      <a:off x="0" y="0"/>
                      <a:ext cx="5262245" cy="2296795"/>
                    </a:xfrm>
                    <a:prstGeom prst="rect">
                      <a:avLst/>
                    </a:prstGeom>
                    <a:noFill/>
                    <a:ln w="9525">
                      <a:noFill/>
                    </a:ln>
                  </pic:spPr>
                </pic:pic>
              </a:graphicData>
            </a:graphic>
          </wp:inline>
        </w:drawing>
      </w:r>
    </w:p>
    <w:p>
      <w:pPr>
        <w:spacing w:line="360" w:lineRule="auto"/>
        <w:jc w:val="left"/>
        <w:rPr>
          <w:rFonts w:hint="default"/>
          <w:lang w:val="en-US" w:eastAsia="zh-CN"/>
        </w:rPr>
      </w:pPr>
      <w:r>
        <w:rPr>
          <w:rFonts w:hint="eastAsia"/>
          <w:lang w:val="en-US" w:eastAsia="zh-CN"/>
        </w:rPr>
        <w:t>打开登录页面http://222.240.80.75/tpbidder/memberLogin?type=6，支持账号密码、ca证书登录。</w:t>
      </w:r>
    </w:p>
    <w:p>
      <w:pPr>
        <w:spacing w:line="360" w:lineRule="auto"/>
        <w:jc w:val="left"/>
        <w:rPr>
          <w:rFonts w:hint="default"/>
          <w:lang w:val="en-US" w:eastAsia="zh-CN"/>
        </w:rPr>
      </w:pPr>
      <w:r>
        <w:rPr>
          <w:rFonts w:hint="default"/>
          <w:lang w:val="en-US" w:eastAsia="zh-CN"/>
        </w:rPr>
        <w:drawing>
          <wp:inline distT="0" distB="0" distL="114300" distR="114300">
            <wp:extent cx="5271135" cy="3510280"/>
            <wp:effectExtent l="0" t="0" r="5715" b="13970"/>
            <wp:docPr id="3" name="图片 3" descr="ade76f9ec8a9beff4a39f4b8284d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de76f9ec8a9beff4a39f4b8284d989"/>
                    <pic:cNvPicPr>
                      <a:picLocks noChangeAspect="1"/>
                    </pic:cNvPicPr>
                  </pic:nvPicPr>
                  <pic:blipFill>
                    <a:blip r:embed="rId8"/>
                    <a:stretch>
                      <a:fillRect/>
                    </a:stretch>
                  </pic:blipFill>
                  <pic:spPr>
                    <a:xfrm>
                      <a:off x="0" y="0"/>
                      <a:ext cx="5271135" cy="3510280"/>
                    </a:xfrm>
                    <a:prstGeom prst="rect">
                      <a:avLst/>
                    </a:prstGeom>
                  </pic:spPr>
                </pic:pic>
              </a:graphicData>
            </a:graphic>
          </wp:inline>
        </w:drawing>
      </w:r>
    </w:p>
    <w:p>
      <w:pPr>
        <w:pStyle w:val="2"/>
        <w:rPr>
          <w:rFonts w:hint="eastAsia" w:ascii="仿宋" w:hAnsi="仿宋" w:eastAsia="仿宋" w:cs="仿宋"/>
          <w:sz w:val="28"/>
          <w:szCs w:val="28"/>
        </w:rPr>
      </w:pPr>
      <w:bookmarkStart w:id="20" w:name="_Toc30095"/>
      <w:r>
        <w:rPr>
          <w:rFonts w:hint="eastAsia" w:ascii="仿宋" w:hAnsi="仿宋" w:eastAsia="仿宋" w:cs="仿宋"/>
          <w:sz w:val="28"/>
          <w:szCs w:val="28"/>
        </w:rPr>
        <w:t>申购报价</w:t>
      </w:r>
      <w:r>
        <w:rPr>
          <w:rFonts w:hint="eastAsia" w:ascii="仿宋" w:hAnsi="仿宋" w:eastAsia="仿宋" w:cs="仿宋"/>
          <w:sz w:val="28"/>
          <w:szCs w:val="28"/>
          <w:lang w:val="en-US" w:eastAsia="zh-CN"/>
        </w:rPr>
        <w:t>及文件上传</w:t>
      </w:r>
      <w:bookmarkEnd w:id="20"/>
    </w:p>
    <w:p>
      <w:pPr>
        <w:pStyle w:val="3"/>
        <w:outlineLvl w:val="1"/>
        <w:rPr>
          <w:rFonts w:hint="eastAsia" w:ascii="仿宋" w:hAnsi="仿宋" w:eastAsia="仿宋" w:cs="仿宋"/>
          <w:sz w:val="28"/>
          <w:szCs w:val="28"/>
        </w:rPr>
      </w:pPr>
      <w:bookmarkStart w:id="21" w:name="_Toc3976"/>
      <w:r>
        <w:rPr>
          <w:rFonts w:hint="eastAsia" w:ascii="仿宋" w:hAnsi="仿宋" w:eastAsia="仿宋" w:cs="仿宋"/>
          <w:sz w:val="28"/>
          <w:szCs w:val="28"/>
        </w:rPr>
        <w:t>申购</w:t>
      </w:r>
      <w:bookmarkEnd w:id="21"/>
    </w:p>
    <w:p>
      <w:pPr>
        <w:pStyle w:val="5"/>
        <w:ind w:firstLine="360"/>
        <w:rPr>
          <w:rFonts w:hint="eastAsia" w:ascii="仿宋" w:hAnsi="仿宋" w:eastAsia="仿宋" w:cs="仿宋"/>
          <w:sz w:val="28"/>
          <w:szCs w:val="28"/>
        </w:rPr>
      </w:pPr>
      <w:r>
        <w:rPr>
          <w:rFonts w:hint="eastAsia" w:ascii="仿宋" w:hAnsi="仿宋" w:eastAsia="仿宋" w:cs="仿宋"/>
          <w:sz w:val="28"/>
          <w:szCs w:val="28"/>
        </w:rPr>
        <w:t>选择菜单：国土资源交易---采矿权交易---工作台，选择项目后点击操作，进入对应的项目。</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199136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
                    <a:stretch>
                      <a:fillRect/>
                    </a:stretch>
                  </pic:blipFill>
                  <pic:spPr>
                    <a:xfrm>
                      <a:off x="0" y="0"/>
                      <a:ext cx="5274310" cy="1991360"/>
                    </a:xfrm>
                    <a:prstGeom prst="rect">
                      <a:avLst/>
                    </a:prstGeom>
                  </pic:spPr>
                </pic:pic>
              </a:graphicData>
            </a:graphic>
          </wp:inline>
        </w:drawing>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208153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
                    <a:stretch>
                      <a:fillRect/>
                    </a:stretch>
                  </pic:blipFill>
                  <pic:spPr>
                    <a:xfrm>
                      <a:off x="0" y="0"/>
                      <a:ext cx="5274310" cy="2081530"/>
                    </a:xfrm>
                    <a:prstGeom prst="rect">
                      <a:avLst/>
                    </a:prstGeom>
                  </pic:spPr>
                </pic:pic>
              </a:graphicData>
            </a:graphic>
          </wp:inline>
        </w:drawing>
      </w:r>
      <w:r>
        <w:rPr>
          <w:rFonts w:hint="eastAsia" w:ascii="仿宋" w:hAnsi="仿宋" w:eastAsia="仿宋" w:cs="仿宋"/>
          <w:sz w:val="28"/>
          <w:szCs w:val="28"/>
        </w:rPr>
        <w:t>浏览竞买须知，滑轮滑到最下面，点击“同意”，出现以下页面：</w:t>
      </w:r>
    </w:p>
    <w:p>
      <w:pPr>
        <w:tabs>
          <w:tab w:val="left" w:pos="312"/>
        </w:tabs>
        <w:jc w:val="left"/>
        <w:rPr>
          <w:rFonts w:hint="eastAsia" w:ascii="仿宋" w:hAnsi="仿宋" w:eastAsia="仿宋" w:cs="仿宋"/>
          <w:sz w:val="28"/>
          <w:szCs w:val="28"/>
        </w:rPr>
      </w:pPr>
      <w:r>
        <w:rPr>
          <w:rFonts w:hint="eastAsia" w:ascii="仿宋" w:hAnsi="仿宋" w:eastAsia="仿宋" w:cs="仿宋"/>
          <w:sz w:val="28"/>
          <w:szCs w:val="28"/>
        </w:rPr>
        <w:t>完善所有需填写的信息（所有确认项均需仔细确认为‘是’，并上传相关的共</w:t>
      </w:r>
      <w:r>
        <w:rPr>
          <w:rFonts w:hint="eastAsia" w:ascii="仿宋" w:hAnsi="仿宋" w:eastAsia="仿宋" w:cs="仿宋"/>
          <w:sz w:val="28"/>
          <w:szCs w:val="28"/>
          <w:lang w:val="en-US" w:eastAsia="zh-CN"/>
        </w:rPr>
        <w:t>九</w:t>
      </w:r>
      <w:r>
        <w:rPr>
          <w:rFonts w:hint="eastAsia" w:ascii="仿宋" w:hAnsi="仿宋" w:eastAsia="仿宋" w:cs="仿宋"/>
          <w:sz w:val="28"/>
          <w:szCs w:val="28"/>
        </w:rPr>
        <w:t>个附件才能进行下一步）</w:t>
      </w:r>
    </w:p>
    <w:p>
      <w:pPr>
        <w:pStyle w:val="5"/>
        <w:ind w:left="0" w:leftChars="0" w:firstLine="0" w:firstLineChars="0"/>
        <w:rPr>
          <w:rFonts w:hint="eastAsia" w:ascii="仿宋" w:hAnsi="仿宋" w:eastAsia="仿宋" w:cs="仿宋"/>
          <w:sz w:val="28"/>
          <w:szCs w:val="28"/>
        </w:rPr>
      </w:pPr>
      <w:r>
        <w:drawing>
          <wp:inline distT="0" distB="0" distL="114300" distR="114300">
            <wp:extent cx="5270500" cy="2110740"/>
            <wp:effectExtent l="0" t="0" r="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70500" cy="2110740"/>
                    </a:xfrm>
                    <a:prstGeom prst="rect">
                      <a:avLst/>
                    </a:prstGeom>
                    <a:noFill/>
                    <a:ln>
                      <a:noFill/>
                    </a:ln>
                  </pic:spPr>
                </pic:pic>
              </a:graphicData>
            </a:graphic>
          </wp:inline>
        </w:drawing>
      </w:r>
    </w:p>
    <w:p>
      <w:pPr>
        <w:pStyle w:val="5"/>
        <w:ind w:firstLine="360"/>
        <w:rPr>
          <w:rFonts w:hint="eastAsia" w:ascii="仿宋" w:hAnsi="仿宋" w:eastAsia="仿宋" w:cs="仿宋"/>
          <w:sz w:val="28"/>
          <w:szCs w:val="28"/>
        </w:rPr>
      </w:pPr>
      <w:r>
        <w:rPr>
          <w:rFonts w:hint="eastAsia" w:ascii="仿宋" w:hAnsi="仿宋" w:eastAsia="仿宋" w:cs="仿宋"/>
          <w:sz w:val="28"/>
          <w:szCs w:val="28"/>
        </w:rPr>
        <w:t>点击“下一步”并点击“确定”后，出现以下页面：</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055" cy="2289175"/>
            <wp:effectExtent l="0" t="0" r="10795" b="1587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2" cstate="print"/>
                    <a:stretch>
                      <a:fillRect/>
                    </a:stretch>
                  </pic:blipFill>
                  <pic:spPr>
                    <a:xfrm>
                      <a:off x="0" y="0"/>
                      <a:ext cx="5266055" cy="2289175"/>
                    </a:xfrm>
                    <a:prstGeom prst="rect">
                      <a:avLst/>
                    </a:prstGeom>
                    <a:noFill/>
                    <a:ln w="9525">
                      <a:noFill/>
                    </a:ln>
                  </pic:spPr>
                </pic:pic>
              </a:graphicData>
            </a:graphic>
          </wp:inline>
        </w:drawing>
      </w:r>
    </w:p>
    <w:p>
      <w:pPr>
        <w:pStyle w:val="5"/>
        <w:ind w:firstLine="360"/>
        <w:rPr>
          <w:rFonts w:hint="eastAsia" w:ascii="仿宋" w:hAnsi="仿宋" w:eastAsia="仿宋" w:cs="仿宋"/>
          <w:sz w:val="28"/>
          <w:szCs w:val="28"/>
        </w:rPr>
      </w:pPr>
      <w:r>
        <w:rPr>
          <w:rFonts w:hint="eastAsia" w:ascii="仿宋" w:hAnsi="仿宋" w:eastAsia="仿宋" w:cs="仿宋"/>
          <w:sz w:val="28"/>
          <w:szCs w:val="28"/>
        </w:rPr>
        <w:t>将红框中的信息填写完整后，滑轮滑到最下面点击“申请”以及“确定”后，出现以下页面：</w:t>
      </w:r>
    </w:p>
    <w:p>
      <w:pPr>
        <w:pStyle w:val="5"/>
        <w:ind w:firstLine="360"/>
        <w:rPr>
          <w:rFonts w:hint="default" w:ascii="仿宋" w:hAnsi="仿宋" w:eastAsia="仿宋" w:cs="仿宋"/>
          <w:sz w:val="28"/>
          <w:szCs w:val="28"/>
          <w:lang w:val="en-US" w:eastAsia="zh-CN"/>
        </w:rPr>
      </w:pPr>
      <w:r>
        <w:rPr>
          <w:rFonts w:hint="eastAsia" w:ascii="仿宋" w:hAnsi="仿宋" w:eastAsia="仿宋" w:cs="仿宋"/>
          <w:sz w:val="28"/>
          <w:szCs w:val="28"/>
        </w:rPr>
        <w:t>说明</w:t>
      </w:r>
      <w:r>
        <w:rPr>
          <w:rFonts w:hint="eastAsia" w:ascii="仿宋" w:hAnsi="仿宋" w:eastAsia="仿宋" w:cs="仿宋"/>
          <w:sz w:val="28"/>
          <w:szCs w:val="28"/>
          <w:lang w:val="en-US" w:eastAsia="zh-CN"/>
        </w:rPr>
        <w:t>报名资料已递交成功</w:t>
      </w:r>
      <w:r>
        <w:rPr>
          <w:rFonts w:hint="eastAsia" w:ascii="仿宋" w:hAnsi="仿宋" w:eastAsia="仿宋" w:cs="仿宋"/>
          <w:sz w:val="28"/>
          <w:szCs w:val="28"/>
        </w:rPr>
        <w:t>（</w:t>
      </w:r>
      <w:r>
        <w:rPr>
          <w:rFonts w:hint="eastAsia" w:ascii="仿宋" w:hAnsi="仿宋" w:eastAsia="仿宋" w:cs="仿宋"/>
          <w:color w:val="FF0000"/>
          <w:sz w:val="28"/>
          <w:szCs w:val="28"/>
        </w:rPr>
        <w:t>报名成功后将无法撤回申请及修改报名信息</w:t>
      </w:r>
      <w:r>
        <w:rPr>
          <w:rFonts w:hint="eastAsia" w:ascii="仿宋" w:hAnsi="仿宋" w:eastAsia="仿宋" w:cs="仿宋"/>
          <w:sz w:val="28"/>
          <w:szCs w:val="28"/>
        </w:rPr>
        <w:t>）</w:t>
      </w:r>
      <w:r>
        <w:rPr>
          <w:rFonts w:hint="eastAsia" w:ascii="仿宋" w:hAnsi="仿宋" w:eastAsia="仿宋" w:cs="仿宋"/>
          <w:sz w:val="28"/>
          <w:szCs w:val="28"/>
          <w:lang w:val="en-US" w:eastAsia="zh-CN"/>
        </w:rPr>
        <w:t>等待资格审查结果，资格审查通过即可参与竞价，未通过将不能参与竞价，资格审查时间为挂牌开始前，具体时间见竞买人须知，交易公告。</w:t>
      </w:r>
    </w:p>
    <w:p>
      <w:pPr>
        <w:pStyle w:val="5"/>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152015"/>
            <wp:effectExtent l="0" t="0" r="635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266690" cy="2152015"/>
                    </a:xfrm>
                    <a:prstGeom prst="rect">
                      <a:avLst/>
                    </a:prstGeom>
                    <a:noFill/>
                    <a:ln>
                      <a:noFill/>
                    </a:ln>
                  </pic:spPr>
                </pic:pic>
              </a:graphicData>
            </a:graphic>
          </wp:inline>
        </w:drawing>
      </w:r>
    </w:p>
    <w:p>
      <w:pPr>
        <w:pStyle w:val="5"/>
        <w:ind w:firstLine="360"/>
        <w:jc w:val="center"/>
      </w:pPr>
      <w:r>
        <w:drawing>
          <wp:inline distT="0" distB="0" distL="114300" distR="114300">
            <wp:extent cx="4089400" cy="4578350"/>
            <wp:effectExtent l="0" t="0" r="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4089400" cy="4578350"/>
                    </a:xfrm>
                    <a:prstGeom prst="rect">
                      <a:avLst/>
                    </a:prstGeom>
                    <a:noFill/>
                    <a:ln>
                      <a:noFill/>
                    </a:ln>
                  </pic:spPr>
                </pic:pic>
              </a:graphicData>
            </a:graphic>
          </wp:inline>
        </w:drawing>
      </w:r>
    </w:p>
    <w:p>
      <w:pPr>
        <w:pStyle w:val="5"/>
        <w:ind w:firstLine="360"/>
        <w:jc w:val="both"/>
        <w:rPr>
          <w:rFonts w:hint="eastAsia"/>
          <w:lang w:val="en-US" w:eastAsia="zh-CN"/>
        </w:rPr>
      </w:pPr>
      <w:r>
        <w:rPr>
          <w:rFonts w:hint="eastAsia"/>
          <w:shd w:val="clear" w:fill="FFC000"/>
          <w:lang w:val="en-US" w:eastAsia="zh-CN"/>
        </w:rPr>
        <w:t>温馨提示</w:t>
      </w:r>
      <w:r>
        <w:rPr>
          <w:rFonts w:hint="eastAsia"/>
          <w:lang w:val="en-US" w:eastAsia="zh-CN"/>
        </w:rPr>
        <w:t>：</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eastAsia="zh-CN"/>
        </w:rPr>
      </w:pPr>
      <w:r>
        <w:rPr>
          <w:rFonts w:hint="eastAsia" w:ascii="仿宋" w:hAnsi="仿宋" w:eastAsia="仿宋" w:cs="仿宋"/>
          <w:bCs/>
          <w:color w:val="auto"/>
          <w:sz w:val="24"/>
          <w:szCs w:val="24"/>
          <w:lang w:val="en"/>
        </w:rPr>
        <w:t>1、首次进行网上交易的</w:t>
      </w:r>
      <w:r>
        <w:rPr>
          <w:rFonts w:hint="eastAsia" w:ascii="仿宋" w:hAnsi="仿宋" w:eastAsia="仿宋" w:cs="仿宋"/>
          <w:spacing w:val="7"/>
          <w:sz w:val="24"/>
          <w:szCs w:val="24"/>
          <w:lang w:val="en-US" w:eastAsia="zh-CN"/>
        </w:rPr>
        <w:t>竞买人</w:t>
      </w:r>
      <w:r>
        <w:rPr>
          <w:rFonts w:hint="eastAsia" w:ascii="仿宋" w:hAnsi="仿宋" w:eastAsia="仿宋" w:cs="仿宋"/>
          <w:bCs/>
          <w:color w:val="auto"/>
          <w:sz w:val="24"/>
          <w:szCs w:val="24"/>
          <w:lang w:val="en"/>
        </w:rPr>
        <w:t>须办理CA数字证书（须含电子印章），并登录湖南省公共资源交易服务平台进行注册，绑定（激活）数字证书</w:t>
      </w:r>
      <w:r>
        <w:rPr>
          <w:rFonts w:hint="eastAsia" w:ascii="仿宋" w:hAnsi="仿宋" w:eastAsia="仿宋" w:cs="仿宋"/>
          <w:bCs/>
          <w:color w:val="auto"/>
          <w:sz w:val="24"/>
          <w:szCs w:val="24"/>
          <w:lang w:val="en" w:eastAsia="zh-CN"/>
        </w:rPr>
        <w:t>。</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lang w:val="en"/>
        </w:rPr>
        <w:t>凭CA数字证书登录省公共资源交易中心系统进行</w:t>
      </w:r>
      <w:r>
        <w:rPr>
          <w:rFonts w:hint="eastAsia" w:ascii="仿宋" w:hAnsi="仿宋" w:eastAsia="仿宋" w:cs="仿宋"/>
          <w:bCs/>
          <w:color w:val="auto"/>
          <w:sz w:val="24"/>
          <w:szCs w:val="24"/>
          <w:lang w:val="en" w:eastAsia="zh-CN"/>
        </w:rPr>
        <w:t>竞买申请</w:t>
      </w:r>
      <w:r>
        <w:rPr>
          <w:rFonts w:hint="eastAsia" w:ascii="仿宋" w:hAnsi="仿宋" w:eastAsia="仿宋" w:cs="仿宋"/>
          <w:bCs/>
          <w:color w:val="auto"/>
          <w:sz w:val="24"/>
          <w:szCs w:val="24"/>
          <w:lang w:val="en"/>
        </w:rPr>
        <w:t>，按下述要求提交</w:t>
      </w:r>
      <w:r>
        <w:rPr>
          <w:rFonts w:hint="eastAsia" w:ascii="仿宋" w:hAnsi="仿宋" w:eastAsia="仿宋" w:cs="仿宋"/>
          <w:bCs/>
          <w:color w:val="auto"/>
          <w:sz w:val="24"/>
          <w:szCs w:val="24"/>
          <w:lang w:val="en" w:eastAsia="zh-CN"/>
        </w:rPr>
        <w:t>相关资质证明材料</w:t>
      </w:r>
      <w:r>
        <w:rPr>
          <w:rFonts w:hint="eastAsia" w:ascii="仿宋" w:hAnsi="仿宋" w:eastAsia="仿宋" w:cs="仿宋"/>
          <w:bCs/>
          <w:color w:val="auto"/>
          <w:sz w:val="24"/>
          <w:szCs w:val="24"/>
          <w:lang w:val="en"/>
        </w:rPr>
        <w:t>：</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rPr>
        <w:t>①</w:t>
      </w:r>
      <w:r>
        <w:rPr>
          <w:rFonts w:hint="eastAsia" w:ascii="仿宋" w:hAnsi="仿宋" w:eastAsia="仿宋" w:cs="仿宋"/>
          <w:spacing w:val="7"/>
          <w:sz w:val="24"/>
          <w:szCs w:val="24"/>
          <w:lang w:val="en-US" w:eastAsia="zh-CN"/>
        </w:rPr>
        <w:t>竞买人</w:t>
      </w:r>
      <w:r>
        <w:rPr>
          <w:rFonts w:hint="eastAsia" w:ascii="仿宋" w:hAnsi="仿宋" w:eastAsia="仿宋" w:cs="仿宋"/>
          <w:bCs/>
          <w:color w:val="auto"/>
          <w:sz w:val="24"/>
          <w:szCs w:val="24"/>
          <w:lang w:val="en"/>
        </w:rPr>
        <w:t>应未纳入失信企业名单(含法定代表人，出具中国人民银行信用证明);</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rPr>
        <w:t>②</w:t>
      </w:r>
      <w:r>
        <w:rPr>
          <w:rFonts w:hint="eastAsia" w:ascii="仿宋" w:hAnsi="仿宋" w:eastAsia="仿宋" w:cs="仿宋"/>
          <w:spacing w:val="7"/>
          <w:sz w:val="24"/>
          <w:szCs w:val="24"/>
          <w:lang w:val="en-US" w:eastAsia="zh-CN"/>
        </w:rPr>
        <w:t>竞买人</w:t>
      </w:r>
      <w:r>
        <w:rPr>
          <w:rFonts w:hint="eastAsia" w:ascii="仿宋" w:hAnsi="仿宋" w:eastAsia="仿宋" w:cs="仿宋"/>
          <w:bCs/>
          <w:color w:val="auto"/>
          <w:sz w:val="24"/>
          <w:szCs w:val="24"/>
          <w:lang w:val="en"/>
        </w:rPr>
        <w:t>应未纳入安全生产失信黑名单(含法定代表人)（出具企业所在地应急部门的证明）；</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rPr>
        <w:t>③</w:t>
      </w:r>
      <w:r>
        <w:rPr>
          <w:rFonts w:hint="eastAsia" w:ascii="仿宋" w:hAnsi="仿宋" w:eastAsia="仿宋" w:cs="仿宋"/>
          <w:spacing w:val="7"/>
          <w:sz w:val="24"/>
          <w:szCs w:val="24"/>
          <w:lang w:val="en-US" w:eastAsia="zh-CN"/>
        </w:rPr>
        <w:t>竞买人</w:t>
      </w:r>
      <w:r>
        <w:rPr>
          <w:rFonts w:hint="eastAsia" w:ascii="仿宋" w:hAnsi="仿宋" w:eastAsia="仿宋" w:cs="仿宋"/>
          <w:bCs/>
          <w:color w:val="auto"/>
          <w:sz w:val="24"/>
          <w:szCs w:val="24"/>
          <w:lang w:val="en"/>
        </w:rPr>
        <w:t>应未纳入我省公共资源交易领域黑名单的独立法人企业（出具企业自查承诺）；</w:t>
      </w:r>
    </w:p>
    <w:p>
      <w:pPr>
        <w:pStyle w:val="5"/>
        <w:ind w:left="0" w:leftChars="0" w:firstLine="0" w:firstLineChars="0"/>
        <w:jc w:val="both"/>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rPr>
        <w:t>④具有不低于矿业权出让首期缴纳费用和“净矿”出让成本的资金实力，需由银行出具止付证明及协助竞买止付管理承诺函（止付资金额度不低于矿业权出让收益首期缴纳费用与“净矿”出让成本之和）、竞买人授权委托书、竞买人承诺函（止付证明管理要义办理及相关格式清单详见银行止付证明办理服务指南）；</w:t>
      </w:r>
    </w:p>
    <w:p>
      <w:pPr>
        <w:pStyle w:val="5"/>
        <w:numPr>
          <w:ilvl w:val="0"/>
          <w:numId w:val="2"/>
        </w:numPr>
        <w:ind w:left="0" w:leftChars="0" w:firstLine="0" w:firstLineChars="0"/>
        <w:jc w:val="both"/>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资格审查</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eastAsia="zh-CN"/>
        </w:rPr>
        <w:t>（</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lang w:val="en" w:eastAsia="zh-CN"/>
        </w:rPr>
        <w:t>）核对</w:t>
      </w:r>
      <w:r>
        <w:rPr>
          <w:rFonts w:hint="eastAsia" w:ascii="仿宋" w:hAnsi="仿宋" w:eastAsia="仿宋" w:cs="仿宋"/>
          <w:bCs/>
          <w:color w:val="auto"/>
          <w:sz w:val="24"/>
          <w:szCs w:val="24"/>
          <w:lang w:val="en"/>
        </w:rPr>
        <w:t>竞买人是否具备以下条件：</w:t>
      </w:r>
    </w:p>
    <w:p>
      <w:pPr>
        <w:widowControl/>
        <w:snapToGrid w:val="0"/>
        <w:spacing w:line="200" w:lineRule="atLeast"/>
        <w:ind w:firstLine="0" w:firstLineChars="0"/>
        <w:textAlignment w:val="center"/>
        <w:rPr>
          <w:rFonts w:hint="eastAsia" w:ascii="仿宋" w:hAnsi="仿宋" w:eastAsia="仿宋" w:cs="仿宋"/>
          <w:bCs/>
          <w:color w:val="auto"/>
          <w:sz w:val="24"/>
          <w:szCs w:val="24"/>
          <w:lang w:val="en"/>
        </w:rPr>
      </w:pPr>
      <w:r>
        <w:rPr>
          <w:rFonts w:hint="eastAsia" w:ascii="仿宋" w:hAnsi="仿宋" w:eastAsia="仿宋" w:cs="仿宋"/>
          <w:bCs/>
          <w:color w:val="auto"/>
          <w:sz w:val="24"/>
          <w:szCs w:val="24"/>
          <w:lang w:val="en" w:eastAsia="zh-CN"/>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lang w:val="en" w:eastAsia="zh-CN"/>
        </w:rPr>
        <w:t>）</w:t>
      </w:r>
      <w:r>
        <w:rPr>
          <w:rFonts w:hint="eastAsia" w:ascii="仿宋" w:hAnsi="仿宋" w:eastAsia="仿宋" w:cs="仿宋"/>
          <w:bCs/>
          <w:color w:val="auto"/>
          <w:sz w:val="24"/>
          <w:szCs w:val="24"/>
          <w:lang w:val="en"/>
        </w:rPr>
        <w:t>资格审查通过的，即可获得竞买资格进行报价；</w:t>
      </w:r>
    </w:p>
    <w:p>
      <w:pPr>
        <w:widowControl/>
        <w:snapToGrid w:val="0"/>
        <w:spacing w:line="200" w:lineRule="atLeast"/>
        <w:ind w:firstLine="0" w:firstLineChars="0"/>
        <w:textAlignment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 w:eastAsia="zh-CN"/>
        </w:rPr>
        <w:t>（</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lang w:val="en" w:eastAsia="zh-CN"/>
        </w:rPr>
        <w:t>）</w:t>
      </w:r>
      <w:r>
        <w:rPr>
          <w:rFonts w:hint="eastAsia" w:ascii="仿宋" w:hAnsi="仿宋" w:eastAsia="仿宋" w:cs="仿宋"/>
          <w:bCs/>
          <w:color w:val="auto"/>
          <w:sz w:val="24"/>
          <w:szCs w:val="24"/>
          <w:lang w:val="en"/>
        </w:rPr>
        <w:t>未获通过的，不能参与报价，且不能重新补正相关资质材料；</w:t>
      </w:r>
    </w:p>
    <w:p>
      <w:pPr>
        <w:pStyle w:val="3"/>
        <w:outlineLvl w:val="1"/>
        <w:rPr>
          <w:rFonts w:hint="eastAsia" w:ascii="仿宋" w:hAnsi="仿宋" w:eastAsia="仿宋" w:cs="仿宋"/>
          <w:sz w:val="28"/>
          <w:szCs w:val="28"/>
        </w:rPr>
      </w:pPr>
      <w:bookmarkStart w:id="22" w:name="_Toc5165"/>
      <w:r>
        <w:rPr>
          <w:rFonts w:hint="eastAsia" w:ascii="仿宋" w:hAnsi="仿宋" w:eastAsia="仿宋" w:cs="仿宋"/>
          <w:sz w:val="28"/>
          <w:szCs w:val="28"/>
          <w:lang w:val="en-US" w:eastAsia="zh-CN"/>
        </w:rPr>
        <w:t>参与</w:t>
      </w:r>
      <w:r>
        <w:rPr>
          <w:rFonts w:hint="eastAsia" w:ascii="仿宋" w:hAnsi="仿宋" w:eastAsia="仿宋" w:cs="仿宋"/>
          <w:sz w:val="28"/>
          <w:szCs w:val="28"/>
        </w:rPr>
        <w:t>报价</w:t>
      </w:r>
      <w:bookmarkEnd w:id="22"/>
    </w:p>
    <w:p>
      <w:pPr>
        <w:pStyle w:val="5"/>
        <w:ind w:firstLine="360"/>
        <w:rPr>
          <w:rFonts w:hint="eastAsia" w:ascii="仿宋" w:hAnsi="仿宋" w:eastAsia="仿宋" w:cs="仿宋"/>
          <w:sz w:val="28"/>
          <w:szCs w:val="28"/>
        </w:rPr>
      </w:pPr>
      <w:r>
        <w:rPr>
          <w:rFonts w:hint="eastAsia" w:ascii="仿宋" w:hAnsi="仿宋" w:eastAsia="仿宋" w:cs="仿宋"/>
          <w:sz w:val="28"/>
          <w:szCs w:val="28"/>
          <w:lang w:val="en-US" w:eastAsia="zh-CN"/>
        </w:rPr>
        <w:t>资格审查通过后</w:t>
      </w:r>
      <w:r>
        <w:rPr>
          <w:rFonts w:hint="eastAsia" w:ascii="仿宋" w:hAnsi="仿宋" w:eastAsia="仿宋" w:cs="仿宋"/>
          <w:sz w:val="28"/>
          <w:szCs w:val="28"/>
        </w:rPr>
        <w:t>，进入挂牌期后点击“报价-网员报价”：</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206121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5274310" cy="2061210"/>
                    </a:xfrm>
                    <a:prstGeom prst="rect">
                      <a:avLst/>
                    </a:prstGeom>
                  </pic:spPr>
                </pic:pic>
              </a:graphicData>
            </a:graphic>
          </wp:inline>
        </w:drawing>
      </w:r>
    </w:p>
    <w:p>
      <w:pPr>
        <w:pStyle w:val="5"/>
        <w:ind w:firstLine="360"/>
        <w:rPr>
          <w:rFonts w:hint="eastAsia" w:ascii="仿宋" w:hAnsi="仿宋" w:eastAsia="仿宋" w:cs="仿宋"/>
          <w:sz w:val="28"/>
          <w:szCs w:val="28"/>
        </w:rPr>
      </w:pPr>
      <w:r>
        <w:rPr>
          <w:rFonts w:hint="eastAsia" w:ascii="仿宋" w:hAnsi="仿宋" w:eastAsia="仿宋" w:cs="仿宋"/>
          <w:sz w:val="28"/>
          <w:szCs w:val="28"/>
        </w:rPr>
        <w:t>进入竞价大厅，竞买人进行出价：</w:t>
      </w:r>
    </w:p>
    <w:p>
      <w:pPr>
        <w:widowControl/>
        <w:jc w:val="left"/>
        <w:rPr>
          <w:rFonts w:hint="eastAsia" w:ascii="仿宋" w:hAnsi="仿宋" w:eastAsia="仿宋" w:cs="仿宋"/>
          <w:sz w:val="28"/>
          <w:szCs w:val="28"/>
        </w:rPr>
      </w:pPr>
      <w:r>
        <w:rPr>
          <w:rFonts w:hint="eastAsia" w:ascii="仿宋" w:hAnsi="仿宋" w:eastAsia="仿宋" w:cs="仿宋"/>
          <w:sz w:val="28"/>
          <w:szCs w:val="28"/>
        </w:rPr>
        <w:br w:type="page"/>
      </w:r>
    </w:p>
    <w:p>
      <w:pPr>
        <w:bidi w:val="0"/>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限时竞价阶段</w:t>
      </w:r>
      <w:r>
        <w:rPr>
          <w:rFonts w:hint="eastAsia" w:ascii="仿宋" w:hAnsi="仿宋" w:eastAsia="仿宋" w:cs="仿宋"/>
          <w:kern w:val="2"/>
          <w:sz w:val="28"/>
          <w:szCs w:val="28"/>
          <w:lang w:val="en-US" w:eastAsia="zh-CN" w:bidi="ar-SA"/>
        </w:rPr>
        <w:t>：如多家单位在挂牌期进行了报价则进入询问期，询问期倒计时结束后则进入限时竞价；如果挂牌期仅一家单位报价则跳过此环节。</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2178050"/>
            <wp:effectExtent l="0" t="0" r="889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274310" cy="2178050"/>
                    </a:xfrm>
                    <a:prstGeom prst="rect">
                      <a:avLst/>
                    </a:prstGeom>
                  </pic:spPr>
                </pic:pic>
              </a:graphicData>
            </a:graphic>
          </wp:inline>
        </w:drawing>
      </w:r>
    </w:p>
    <w:p>
      <w:pPr>
        <w:pStyle w:val="5"/>
        <w:ind w:firstLine="360"/>
        <w:rPr>
          <w:rFonts w:hint="eastAsia" w:ascii="仿宋" w:hAnsi="仿宋" w:eastAsia="仿宋" w:cs="仿宋"/>
          <w:sz w:val="28"/>
          <w:szCs w:val="28"/>
        </w:rPr>
      </w:pPr>
      <w:r>
        <w:rPr>
          <w:rFonts w:hint="eastAsia" w:ascii="仿宋" w:hAnsi="仿宋" w:eastAsia="仿宋" w:cs="仿宋"/>
          <w:sz w:val="28"/>
          <w:szCs w:val="28"/>
        </w:rPr>
        <w:t>限时竞价时间为4分钟，进入限时竞价后，每次出价后从4分钟开始倒计时，4分钟之内没有新的出价出现则当前出价最高的成交。</w:t>
      </w:r>
    </w:p>
    <w:p>
      <w:pPr>
        <w:pStyle w:val="5"/>
        <w:ind w:firstLine="360"/>
        <w:rPr>
          <w:rFonts w:hint="eastAsia" w:ascii="仿宋" w:hAnsi="仿宋" w:eastAsia="仿宋" w:cs="仿宋"/>
          <w:sz w:val="28"/>
          <w:szCs w:val="28"/>
          <w:lang w:val="en-US" w:eastAsia="zh-CN"/>
        </w:rPr>
      </w:pPr>
      <w:r>
        <w:rPr>
          <w:rFonts w:hint="eastAsia" w:ascii="仿宋" w:hAnsi="仿宋" w:eastAsia="仿宋" w:cs="仿宋"/>
          <w:sz w:val="28"/>
          <w:szCs w:val="28"/>
          <w:shd w:val="clear" w:fill="FFC000"/>
          <w:lang w:val="en-US" w:eastAsia="zh-CN"/>
        </w:rPr>
        <w:t>温馨提示</w:t>
      </w:r>
      <w:r>
        <w:rPr>
          <w:rFonts w:hint="eastAsia" w:ascii="仿宋" w:hAnsi="仿宋" w:eastAsia="仿宋" w:cs="仿宋"/>
          <w:sz w:val="28"/>
          <w:szCs w:val="28"/>
          <w:lang w:val="en-US" w:eastAsia="zh-CN"/>
        </w:rPr>
        <w:t>：</w:t>
      </w:r>
    </w:p>
    <w:p>
      <w:pPr>
        <w:snapToGrid w:val="0"/>
        <w:spacing w:line="200" w:lineRule="atLeast"/>
        <w:jc w:val="left"/>
        <w:rPr>
          <w:rFonts w:hint="eastAsia" w:ascii="仿宋" w:hAnsi="仿宋" w:eastAsia="仿宋" w:cs="仿宋"/>
          <w:bCs/>
          <w:sz w:val="24"/>
          <w:szCs w:val="24"/>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、交易系统从挂牌时间开始接受竞买人的报价。</w:t>
      </w:r>
    </w:p>
    <w:p>
      <w:pPr>
        <w:snapToGrid w:val="0"/>
        <w:spacing w:line="200" w:lineRule="atLeast"/>
        <w:jc w:val="left"/>
        <w:rPr>
          <w:rFonts w:hint="eastAsia" w:ascii="仿宋" w:hAnsi="仿宋" w:eastAsia="仿宋" w:cs="仿宋"/>
          <w:bCs/>
          <w:sz w:val="24"/>
          <w:szCs w:val="24"/>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公告类型为非挂牌的</w:t>
      </w:r>
      <w:r>
        <w:rPr>
          <w:rFonts w:hint="eastAsia" w:ascii="仿宋" w:hAnsi="仿宋" w:eastAsia="仿宋" w:cs="仿宋"/>
          <w:spacing w:val="7"/>
          <w:sz w:val="24"/>
          <w:szCs w:val="24"/>
          <w:lang w:val="en-US" w:eastAsia="zh-CN"/>
        </w:rPr>
        <w:t>竞买人</w:t>
      </w:r>
      <w:r>
        <w:rPr>
          <w:rFonts w:hint="eastAsia" w:ascii="仿宋" w:hAnsi="仿宋" w:eastAsia="仿宋" w:cs="仿宋"/>
          <w:bCs/>
          <w:sz w:val="24"/>
          <w:szCs w:val="24"/>
        </w:rPr>
        <w:t>登录交易系统，可以在挂牌项目的每一个轮次的竞价时段内进行一轮或多轮报价。所有轮次的报价均是报单价。</w:t>
      </w:r>
    </w:p>
    <w:p>
      <w:pPr>
        <w:snapToGrid w:val="0"/>
        <w:spacing w:line="200" w:lineRule="atLeast"/>
        <w:jc w:val="left"/>
        <w:rPr>
          <w:rFonts w:hint="eastAsia" w:ascii="仿宋" w:hAnsi="仿宋" w:eastAsia="仿宋" w:cs="仿宋"/>
          <w:bCs/>
          <w:sz w:val="24"/>
          <w:szCs w:val="24"/>
        </w:rPr>
      </w:pPr>
      <w:r>
        <w:rPr>
          <w:rFonts w:hint="eastAsia" w:ascii="仿宋" w:hAnsi="仿宋" w:eastAsia="仿宋" w:cs="仿宋"/>
          <w:bCs/>
          <w:sz w:val="24"/>
          <w:szCs w:val="24"/>
          <w:lang w:val="en-US" w:eastAsia="zh-CN"/>
        </w:rPr>
        <w:t>3</w:t>
      </w:r>
      <w:r>
        <w:rPr>
          <w:rFonts w:hint="eastAsia" w:ascii="仿宋" w:hAnsi="仿宋" w:eastAsia="仿宋" w:cs="仿宋"/>
          <w:bCs/>
          <w:sz w:val="24"/>
          <w:szCs w:val="24"/>
        </w:rPr>
        <w:t>、交易系统对符合规定的报价予以确认，显示为当前最高</w:t>
      </w:r>
      <w:r>
        <w:rPr>
          <w:rFonts w:hint="eastAsia" w:ascii="仿宋" w:hAnsi="仿宋" w:eastAsia="仿宋" w:cs="仿宋"/>
          <w:bCs/>
          <w:sz w:val="24"/>
          <w:szCs w:val="24"/>
          <w:lang w:val="en-US" w:eastAsia="zh-CN"/>
        </w:rPr>
        <w:t>或最低</w:t>
      </w:r>
      <w:r>
        <w:rPr>
          <w:rFonts w:hint="eastAsia" w:ascii="仿宋" w:hAnsi="仿宋" w:eastAsia="仿宋" w:cs="仿宋"/>
          <w:bCs/>
          <w:sz w:val="24"/>
          <w:szCs w:val="24"/>
        </w:rPr>
        <w:t>报价，继续接受新的报价；</w:t>
      </w:r>
    </w:p>
    <w:p>
      <w:pPr>
        <w:snapToGrid w:val="0"/>
        <w:spacing w:line="200" w:lineRule="atLeast"/>
        <w:jc w:val="left"/>
        <w:rPr>
          <w:rFonts w:hint="eastAsia" w:ascii="仿宋" w:hAnsi="仿宋" w:eastAsia="仿宋" w:cs="仿宋"/>
          <w:bCs/>
          <w:sz w:val="24"/>
          <w:szCs w:val="24"/>
        </w:rPr>
      </w:pPr>
      <w:r>
        <w:rPr>
          <w:rFonts w:hint="eastAsia" w:ascii="仿宋" w:hAnsi="仿宋" w:eastAsia="仿宋" w:cs="仿宋"/>
          <w:bCs/>
          <w:sz w:val="24"/>
          <w:szCs w:val="24"/>
          <w:lang w:val="en-US" w:eastAsia="zh-CN"/>
        </w:rPr>
        <w:t>4</w:t>
      </w:r>
      <w:r>
        <w:rPr>
          <w:rFonts w:hint="eastAsia" w:ascii="仿宋" w:hAnsi="仿宋" w:eastAsia="仿宋" w:cs="仿宋"/>
          <w:bCs/>
          <w:sz w:val="24"/>
          <w:szCs w:val="24"/>
        </w:rPr>
        <w:t>、竞价时段。挂牌项目每一个轮次的竞价时段包括挂牌期竞价和限时竞价两个时段。</w:t>
      </w:r>
    </w:p>
    <w:p>
      <w:pPr>
        <w:snapToGrid w:val="0"/>
        <w:spacing w:line="200" w:lineRule="atLeast"/>
        <w:jc w:val="left"/>
        <w:rPr>
          <w:rFonts w:hint="eastAsia" w:ascii="仿宋" w:hAnsi="仿宋" w:eastAsia="仿宋" w:cs="仿宋"/>
          <w:bCs/>
          <w:sz w:val="24"/>
          <w:szCs w:val="24"/>
        </w:rPr>
      </w:pPr>
      <w:r>
        <w:rPr>
          <w:rFonts w:hint="eastAsia" w:ascii="仿宋" w:hAnsi="仿宋" w:eastAsia="仿宋" w:cs="仿宋"/>
          <w:bCs/>
          <w:sz w:val="24"/>
          <w:szCs w:val="24"/>
        </w:rPr>
        <w:t>（1）挂牌期竞价期。是指在挂牌开始至挂牌截止时段内，</w:t>
      </w:r>
      <w:r>
        <w:rPr>
          <w:rFonts w:hint="eastAsia" w:ascii="仿宋" w:hAnsi="仿宋" w:eastAsia="仿宋" w:cs="仿宋"/>
          <w:spacing w:val="7"/>
          <w:sz w:val="24"/>
          <w:szCs w:val="24"/>
          <w:lang w:val="en-US" w:eastAsia="zh-CN"/>
        </w:rPr>
        <w:t>竞买人</w:t>
      </w:r>
      <w:r>
        <w:rPr>
          <w:rFonts w:hint="eastAsia" w:ascii="仿宋" w:hAnsi="仿宋" w:eastAsia="仿宋" w:cs="仿宋"/>
          <w:bCs/>
          <w:sz w:val="24"/>
          <w:szCs w:val="24"/>
        </w:rPr>
        <w:t>可无次数限制的加价（或减价）报价。</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bCs/>
          <w:sz w:val="24"/>
          <w:szCs w:val="24"/>
        </w:rPr>
        <w:t>（2）限时竞价期。是指挂牌期竞价期结束后，系统即时进入限时竞价期。限时竞价期依次包括时长4分钟的询问期时段和时长4分钟的竞价时段；询问期内只要有人点击“同意”按钮，则立即进入竞价时段；限时时段内只要有新的报价，则进入下一个时长4分钟的竞价时段，依次循环；竞价时段内如没有出现新的报价，则依成交原则成交，本轮次竞价程序结束。</w:t>
      </w:r>
    </w:p>
    <w:p>
      <w:pPr>
        <w:pStyle w:val="3"/>
        <w:outlineLvl w:val="1"/>
        <w:rPr>
          <w:rFonts w:hint="default" w:ascii="仿宋" w:hAnsi="仿宋" w:eastAsia="仿宋" w:cs="仿宋"/>
          <w:sz w:val="28"/>
          <w:szCs w:val="28"/>
          <w:lang w:val="en-US" w:eastAsia="zh-CN"/>
        </w:rPr>
      </w:pPr>
      <w:bookmarkStart w:id="23" w:name="_Toc10051"/>
      <w:r>
        <w:rPr>
          <w:rFonts w:hint="eastAsia" w:ascii="仿宋" w:hAnsi="仿宋" w:eastAsia="仿宋" w:cs="仿宋"/>
          <w:sz w:val="28"/>
          <w:szCs w:val="28"/>
          <w:lang w:val="en-US" w:eastAsia="zh-CN"/>
        </w:rPr>
        <w:t>缴费凭证上传</w:t>
      </w:r>
      <w:bookmarkEnd w:id="23"/>
    </w:p>
    <w:p>
      <w:pPr>
        <w:pStyle w:val="5"/>
        <w:ind w:firstLine="700" w:firstLineChars="250"/>
        <w:rPr>
          <w:rFonts w:hint="eastAsia" w:ascii="仿宋" w:hAnsi="仿宋" w:eastAsia="仿宋" w:cs="仿宋"/>
          <w:sz w:val="28"/>
          <w:szCs w:val="28"/>
        </w:rPr>
      </w:pPr>
      <w:r>
        <w:rPr>
          <w:rFonts w:hint="eastAsia" w:ascii="仿宋" w:hAnsi="仿宋" w:eastAsia="仿宋" w:cs="仿宋"/>
          <w:sz w:val="28"/>
          <w:szCs w:val="28"/>
          <w:lang w:val="en-US" w:eastAsia="zh-CN"/>
        </w:rPr>
        <w:t>竞得人</w:t>
      </w:r>
      <w:r>
        <w:rPr>
          <w:rFonts w:hint="eastAsia" w:ascii="仿宋" w:hAnsi="仿宋" w:eastAsia="仿宋" w:cs="仿宋"/>
          <w:sz w:val="28"/>
          <w:szCs w:val="28"/>
        </w:rPr>
        <w:t>选择“缴费凭证-上传交易服务费凭证”完善相关材料后点击“提交审核”</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1771015"/>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7"/>
                    <a:stretch>
                      <a:fillRect/>
                    </a:stretch>
                  </pic:blipFill>
                  <pic:spPr>
                    <a:xfrm>
                      <a:off x="0" y="0"/>
                      <a:ext cx="5274310" cy="1771015"/>
                    </a:xfrm>
                    <a:prstGeom prst="rect">
                      <a:avLst/>
                    </a:prstGeom>
                  </pic:spPr>
                </pic:pic>
              </a:graphicData>
            </a:graphic>
          </wp:inline>
        </w:drawing>
      </w:r>
    </w:p>
    <w:p>
      <w:pPr>
        <w:pStyle w:val="5"/>
        <w:ind w:firstLine="360"/>
        <w:rPr>
          <w:rFonts w:hint="eastAsia" w:ascii="仿宋" w:hAnsi="仿宋" w:eastAsia="仿宋" w:cs="仿宋"/>
          <w:sz w:val="28"/>
          <w:szCs w:val="28"/>
        </w:rPr>
      </w:pPr>
    </w:p>
    <w:p>
      <w:pPr>
        <w:pStyle w:val="3"/>
        <w:outlineLvl w:val="1"/>
        <w:rPr>
          <w:rFonts w:hint="default" w:ascii="仿宋" w:hAnsi="仿宋" w:eastAsia="仿宋" w:cs="仿宋"/>
          <w:sz w:val="28"/>
          <w:szCs w:val="28"/>
          <w:lang w:val="en-US" w:eastAsia="zh-CN"/>
        </w:rPr>
      </w:pPr>
      <w:bookmarkStart w:id="24" w:name="_Toc225"/>
      <w:r>
        <w:rPr>
          <w:rFonts w:hint="eastAsia" w:ascii="仿宋" w:hAnsi="仿宋" w:eastAsia="仿宋" w:cs="仿宋"/>
          <w:sz w:val="28"/>
          <w:szCs w:val="28"/>
          <w:lang w:val="en-US" w:eastAsia="zh-CN"/>
        </w:rPr>
        <w:t>成交确认书盖章</w:t>
      </w:r>
      <w:bookmarkEnd w:id="24"/>
    </w:p>
    <w:p>
      <w:pPr>
        <w:pStyle w:val="5"/>
        <w:ind w:firstLine="655" w:firstLineChars="234"/>
        <w:rPr>
          <w:rFonts w:hint="eastAsia" w:ascii="仿宋" w:hAnsi="仿宋" w:eastAsia="仿宋" w:cs="仿宋"/>
          <w:sz w:val="28"/>
          <w:szCs w:val="28"/>
        </w:rPr>
      </w:pPr>
      <w:r>
        <w:rPr>
          <w:rFonts w:hint="eastAsia" w:ascii="仿宋" w:hAnsi="仿宋" w:eastAsia="仿宋" w:cs="仿宋"/>
          <w:sz w:val="28"/>
          <w:szCs w:val="28"/>
        </w:rPr>
        <w:t>中心起草编制成交确认书后，业务流程流转至竞得人端签章，如下：①点击进入确认书编辑页面。</w:t>
      </w:r>
    </w:p>
    <w:p>
      <w:pPr>
        <w:pStyle w:val="5"/>
        <w:ind w:firstLine="360"/>
        <w:rPr>
          <w:rFonts w:hint="eastAsia" w:ascii="仿宋" w:hAnsi="仿宋" w:eastAsia="仿宋" w:cs="仿宋"/>
          <w:sz w:val="28"/>
          <w:szCs w:val="28"/>
        </w:rPr>
      </w:pPr>
      <w:r>
        <w:rPr>
          <w:rFonts w:hint="eastAsia" w:ascii="仿宋" w:hAnsi="仿宋" w:eastAsia="仿宋" w:cs="仿宋"/>
          <w:sz w:val="28"/>
          <w:szCs w:val="28"/>
        </w:rPr>
        <w:t>页面签章：</w:t>
      </w:r>
    </w:p>
    <w:p>
      <w:pPr>
        <w:pStyle w:val="5"/>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209740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a:stretch>
                      <a:fillRect/>
                    </a:stretch>
                  </pic:blipFill>
                  <pic:spPr>
                    <a:xfrm>
                      <a:off x="0" y="0"/>
                      <a:ext cx="5274310" cy="2097405"/>
                    </a:xfrm>
                    <a:prstGeom prst="rect">
                      <a:avLst/>
                    </a:prstGeom>
                  </pic:spPr>
                </pic:pic>
              </a:graphicData>
            </a:graphic>
          </wp:inline>
        </w:drawing>
      </w:r>
    </w:p>
    <w:p>
      <w:pPr>
        <w:pStyle w:val="5"/>
        <w:ind w:firstLine="360"/>
        <w:rPr>
          <w:rFonts w:hint="eastAsia" w:ascii="仿宋" w:hAnsi="仿宋" w:eastAsia="仿宋" w:cs="仿宋"/>
          <w:sz w:val="28"/>
          <w:szCs w:val="28"/>
        </w:rPr>
      </w:pPr>
      <w:r>
        <w:rPr>
          <w:rFonts w:hint="eastAsia" w:ascii="仿宋" w:hAnsi="仿宋" w:eastAsia="仿宋" w:cs="仿宋"/>
          <w:sz w:val="28"/>
          <w:szCs w:val="28"/>
        </w:rPr>
        <w:t>盖章后可以通过打印按钮直接打印成交确认书或者通过保存按钮将成交确认书保存到本地。</w:t>
      </w:r>
    </w:p>
    <w:p>
      <w:pPr>
        <w:pStyle w:val="5"/>
        <w:numPr>
          <w:ilvl w:val="0"/>
          <w:numId w:val="0"/>
        </w:numPr>
        <w:rPr>
          <w:rFonts w:hint="eastAsia" w:ascii="仿宋" w:hAnsi="仿宋" w:eastAsia="仿宋" w:cs="仿宋"/>
          <w:sz w:val="28"/>
          <w:szCs w:val="28"/>
        </w:rPr>
      </w:pPr>
    </w:p>
    <w:p>
      <w:pPr>
        <w:pStyle w:val="5"/>
        <w:numPr>
          <w:ilvl w:val="0"/>
          <w:numId w:val="0"/>
        </w:numPr>
        <w:rPr>
          <w:rFonts w:hint="eastAsia" w:ascii="仿宋" w:hAnsi="仿宋" w:eastAsia="仿宋" w:cs="仿宋"/>
          <w:sz w:val="28"/>
          <w:szCs w:val="28"/>
        </w:rPr>
      </w:pPr>
    </w:p>
    <w:p>
      <w:pPr>
        <w:pStyle w:val="3"/>
        <w:outlineLvl w:val="1"/>
        <w:rPr>
          <w:rFonts w:hint="eastAsia" w:ascii="仿宋" w:hAnsi="仿宋" w:eastAsia="仿宋" w:cs="仿宋"/>
          <w:sz w:val="28"/>
          <w:szCs w:val="28"/>
          <w:lang w:val="en-US" w:eastAsia="zh-CN"/>
        </w:rPr>
      </w:pPr>
      <w:bookmarkStart w:id="25" w:name="_Toc6548"/>
      <w:r>
        <w:rPr>
          <w:rFonts w:hint="eastAsia" w:ascii="仿宋" w:hAnsi="仿宋" w:eastAsia="仿宋" w:cs="仿宋"/>
          <w:sz w:val="28"/>
          <w:szCs w:val="28"/>
          <w:lang w:val="en-US" w:eastAsia="zh-CN"/>
        </w:rPr>
        <w:t>缴款凭证上传</w:t>
      </w:r>
      <w:bookmarkEnd w:id="25"/>
    </w:p>
    <w:p>
      <w:pPr>
        <w:pStyle w:val="5"/>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竞得人</w:t>
      </w:r>
      <w:r>
        <w:rPr>
          <w:rFonts w:hint="eastAsia" w:ascii="仿宋" w:hAnsi="仿宋" w:eastAsia="仿宋" w:cs="仿宋"/>
          <w:sz w:val="28"/>
          <w:szCs w:val="28"/>
        </w:rPr>
        <w:t>选择“缴</w:t>
      </w:r>
      <w:r>
        <w:rPr>
          <w:rFonts w:hint="eastAsia" w:ascii="仿宋" w:hAnsi="仿宋" w:eastAsia="仿宋" w:cs="仿宋"/>
          <w:sz w:val="28"/>
          <w:szCs w:val="28"/>
          <w:lang w:val="en-US" w:eastAsia="zh-CN"/>
        </w:rPr>
        <w:t>款</w:t>
      </w:r>
      <w:r>
        <w:rPr>
          <w:rFonts w:hint="eastAsia" w:ascii="仿宋" w:hAnsi="仿宋" w:eastAsia="仿宋" w:cs="仿宋"/>
          <w:sz w:val="28"/>
          <w:szCs w:val="28"/>
        </w:rPr>
        <w:t>凭证-上传</w:t>
      </w:r>
      <w:r>
        <w:rPr>
          <w:rFonts w:hint="eastAsia" w:ascii="仿宋" w:hAnsi="仿宋" w:eastAsia="仿宋" w:cs="仿宋"/>
          <w:sz w:val="28"/>
          <w:szCs w:val="28"/>
          <w:lang w:val="en-US" w:eastAsia="zh-CN"/>
        </w:rPr>
        <w:t>缴款</w:t>
      </w:r>
      <w:r>
        <w:rPr>
          <w:rFonts w:hint="eastAsia" w:ascii="仿宋" w:hAnsi="仿宋" w:eastAsia="仿宋" w:cs="仿宋"/>
          <w:sz w:val="28"/>
          <w:szCs w:val="28"/>
        </w:rPr>
        <w:t>凭证”</w:t>
      </w:r>
    </w:p>
    <w:p>
      <w:pPr>
        <w:pStyle w:val="5"/>
        <w:numPr>
          <w:ilvl w:val="0"/>
          <w:numId w:val="0"/>
        </w:numPr>
      </w:pPr>
      <w:r>
        <w:drawing>
          <wp:inline distT="0" distB="0" distL="114300" distR="114300">
            <wp:extent cx="5267325" cy="1616075"/>
            <wp:effectExtent l="0" t="0" r="3175"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267325" cy="1616075"/>
                    </a:xfrm>
                    <a:prstGeom prst="rect">
                      <a:avLst/>
                    </a:prstGeom>
                    <a:noFill/>
                    <a:ln>
                      <a:noFill/>
                    </a:ln>
                  </pic:spPr>
                </pic:pic>
              </a:graphicData>
            </a:graphic>
          </wp:inline>
        </w:drawing>
      </w:r>
    </w:p>
    <w:p>
      <w:pPr>
        <w:pStyle w:val="5"/>
        <w:numPr>
          <w:ilvl w:val="0"/>
          <w:numId w:val="0"/>
        </w:numPr>
        <w:rPr>
          <w:rFonts w:hint="eastAsia"/>
          <w:lang w:val="en-US" w:eastAsia="zh-CN"/>
        </w:rPr>
      </w:pPr>
      <w:r>
        <w:rPr>
          <w:rFonts w:hint="eastAsia"/>
          <w:shd w:val="clear" w:fill="FFC000"/>
          <w:lang w:val="en-US" w:eastAsia="zh-CN"/>
        </w:rPr>
        <w:t>温馨提示</w:t>
      </w:r>
      <w:r>
        <w:rPr>
          <w:rFonts w:hint="eastAsia"/>
          <w:lang w:val="en-US" w:eastAsia="zh-CN"/>
        </w:rPr>
        <w:t>：</w:t>
      </w:r>
    </w:p>
    <w:p>
      <w:pPr>
        <w:snapToGrid w:val="0"/>
        <w:spacing w:line="200" w:lineRule="atLeast"/>
        <w:jc w:val="left"/>
        <w:rPr>
          <w:rFonts w:hint="eastAsia" w:ascii="仿宋" w:hAnsi="仿宋" w:eastAsia="仿宋" w:cs="仿宋"/>
          <w:bCs/>
          <w:sz w:val="24"/>
          <w:szCs w:val="24"/>
          <w:lang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成交公告发布后，交易双方应及时登录系统，对交易合同进行电子签章、进行交易资金结算</w:t>
      </w:r>
      <w:r>
        <w:rPr>
          <w:rFonts w:hint="eastAsia" w:ascii="仿宋" w:hAnsi="仿宋" w:eastAsia="仿宋" w:cs="仿宋"/>
          <w:bCs/>
          <w:sz w:val="24"/>
          <w:szCs w:val="24"/>
          <w:lang w:eastAsia="zh-CN"/>
        </w:rPr>
        <w:t>。</w:t>
      </w:r>
    </w:p>
    <w:p>
      <w:pPr>
        <w:pStyle w:val="5"/>
        <w:numPr>
          <w:ilvl w:val="0"/>
          <w:numId w:val="0"/>
        </w:numPr>
        <w:rPr>
          <w:rFonts w:hint="default"/>
          <w:lang w:val="en-US" w:eastAsia="zh-CN"/>
        </w:rPr>
      </w:pPr>
      <w:r>
        <w:rPr>
          <w:rFonts w:hint="eastAsia" w:ascii="仿宋" w:hAnsi="仿宋" w:eastAsia="仿宋" w:cs="仿宋"/>
          <w:bCs/>
          <w:sz w:val="24"/>
          <w:szCs w:val="24"/>
          <w:lang w:val="en-US" w:eastAsia="zh-CN"/>
        </w:rPr>
        <w:t>2、</w:t>
      </w:r>
      <w:r>
        <w:rPr>
          <w:rFonts w:hint="eastAsia" w:ascii="仿宋" w:hAnsi="仿宋" w:eastAsia="仿宋" w:cs="仿宋"/>
          <w:bCs/>
          <w:sz w:val="24"/>
          <w:szCs w:val="24"/>
        </w:rPr>
        <w:t>将</w:t>
      </w:r>
      <w:r>
        <w:rPr>
          <w:rFonts w:hint="eastAsia" w:ascii="仿宋" w:hAnsi="仿宋" w:eastAsia="仿宋" w:cs="仿宋"/>
          <w:bCs/>
          <w:sz w:val="24"/>
          <w:szCs w:val="24"/>
          <w:lang w:eastAsia="zh-CN"/>
        </w:rPr>
        <w:t>资金</w:t>
      </w:r>
      <w:r>
        <w:rPr>
          <w:rFonts w:hint="eastAsia" w:ascii="仿宋" w:hAnsi="仿宋" w:eastAsia="仿宋" w:cs="仿宋"/>
          <w:bCs/>
          <w:sz w:val="24"/>
          <w:szCs w:val="24"/>
        </w:rPr>
        <w:t>结算凭证（付款凭证、收款凭证）上传</w:t>
      </w:r>
      <w:r>
        <w:rPr>
          <w:rFonts w:hint="eastAsia" w:ascii="仿宋" w:hAnsi="仿宋" w:eastAsia="仿宋" w:cs="仿宋"/>
          <w:bCs/>
          <w:sz w:val="24"/>
          <w:szCs w:val="24"/>
          <w:lang w:val="en-US" w:eastAsia="zh-CN"/>
        </w:rPr>
        <w:t>至交易系统</w:t>
      </w:r>
      <w:r>
        <w:rPr>
          <w:rFonts w:hint="eastAsia" w:ascii="仿宋" w:hAnsi="仿宋" w:eastAsia="仿宋" w:cs="仿宋"/>
          <w:bCs/>
          <w:sz w:val="24"/>
          <w:szCs w:val="24"/>
        </w:rPr>
        <w:t>。</w:t>
      </w:r>
    </w:p>
    <w:p>
      <w:pPr>
        <w:pStyle w:val="2"/>
        <w:rPr>
          <w:rFonts w:hint="eastAsia" w:ascii="仿宋" w:hAnsi="仿宋" w:eastAsia="仿宋" w:cs="仿宋"/>
          <w:sz w:val="28"/>
          <w:szCs w:val="28"/>
          <w:lang w:val="en-US" w:eastAsia="zh-CN"/>
        </w:rPr>
      </w:pPr>
      <w:bookmarkStart w:id="26" w:name="_Toc1099"/>
      <w:r>
        <w:rPr>
          <w:rFonts w:hint="eastAsia" w:ascii="仿宋" w:hAnsi="仿宋" w:eastAsia="仿宋" w:cs="仿宋"/>
          <w:sz w:val="28"/>
          <w:szCs w:val="28"/>
          <w:lang w:val="en-US" w:eastAsia="zh-CN"/>
        </w:rPr>
        <w:t>我的文档</w:t>
      </w:r>
      <w:bookmarkEnd w:id="26"/>
    </w:p>
    <w:p>
      <w:pPr>
        <w:pStyle w:val="5"/>
        <w:numPr>
          <w:ilvl w:val="0"/>
          <w:numId w:val="0"/>
        </w:numPr>
        <w:ind w:firstLine="240" w:firstLineChars="100"/>
        <w:rPr>
          <w:rFonts w:hint="default"/>
          <w:lang w:val="en-US" w:eastAsia="zh-CN"/>
        </w:rPr>
      </w:pPr>
      <w:r>
        <w:rPr>
          <w:rFonts w:hint="eastAsia"/>
          <w:lang w:val="en-US" w:eastAsia="zh-CN"/>
        </w:rPr>
        <w:t>竞买人点击“我的文档”可以查看相关文件，如：竞得通知书、服务费通知单等。</w:t>
      </w:r>
    </w:p>
    <w:p>
      <w:pPr>
        <w:pStyle w:val="5"/>
        <w:numPr>
          <w:ilvl w:val="0"/>
          <w:numId w:val="0"/>
        </w:numPr>
      </w:pPr>
      <w:r>
        <w:drawing>
          <wp:inline distT="0" distB="0" distL="114300" distR="114300">
            <wp:extent cx="5263515" cy="1402715"/>
            <wp:effectExtent l="0" t="0" r="6985" b="698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5263515" cy="1402715"/>
                    </a:xfrm>
                    <a:prstGeom prst="rect">
                      <a:avLst/>
                    </a:prstGeom>
                    <a:noFill/>
                    <a:ln>
                      <a:noFill/>
                    </a:ln>
                  </pic:spPr>
                </pic:pic>
              </a:graphicData>
            </a:graphic>
          </wp:inline>
        </w:drawing>
      </w:r>
    </w:p>
    <w:p>
      <w:pPr>
        <w:pStyle w:val="5"/>
        <w:numPr>
          <w:ilvl w:val="0"/>
          <w:numId w:val="0"/>
        </w:numPr>
      </w:pPr>
      <w:r>
        <w:rPr>
          <w:rFonts w:hint="eastAsia"/>
          <w:lang w:val="en-US" w:eastAsia="zh-CN"/>
        </w:rPr>
        <w:t>温馨提示：工作台中5.通知单 节点无需操作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ctionIcon ! important">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rPr>
    </w:lvl>
    <w:lvl w:ilvl="2" w:tentative="0">
      <w:start w:val="1"/>
      <w:numFmt w:val="decimal"/>
      <w:pStyle w:val="4"/>
      <w:isLgl/>
      <w:lvlText w:val="%1.%2.%3、"/>
      <w:lvlJc w:val="left"/>
      <w:pPr>
        <w:ind w:left="0" w:firstLine="0"/>
      </w:pPr>
      <w:rPr>
        <w:rFonts w:hint="default" w:ascii="Times New Roman" w:hAnsi="Times New Roman" w:cs="Times New Roman"/>
        <w:b/>
        <w:i w:val="0"/>
      </w:rPr>
    </w:lvl>
    <w:lvl w:ilvl="3" w:tentative="0">
      <w:start w:val="1"/>
      <w:numFmt w:val="decimal"/>
      <w:pStyle w:val="6"/>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pStyle w:val="8"/>
      <w:isLgl/>
      <w:lvlText w:val="%1.%2.%3.%4.%5.%6、"/>
      <w:lvlJc w:val="left"/>
      <w:pPr>
        <w:ind w:left="1121" w:hanging="1152"/>
      </w:pPr>
      <w:rPr>
        <w:rFonts w:hint="eastAsia"/>
      </w:rPr>
    </w:lvl>
    <w:lvl w:ilvl="6" w:tentative="0">
      <w:start w:val="1"/>
      <w:numFmt w:val="decimal"/>
      <w:pStyle w:val="9"/>
      <w:lvlText w:val="%1.%2.%3.%4.%5.%6.%7"/>
      <w:lvlJc w:val="left"/>
      <w:pPr>
        <w:ind w:left="1265" w:hanging="1296"/>
      </w:pPr>
      <w:rPr>
        <w:rFonts w:hint="eastAsia"/>
      </w:rPr>
    </w:lvl>
    <w:lvl w:ilvl="7" w:tentative="0">
      <w:start w:val="1"/>
      <w:numFmt w:val="decimal"/>
      <w:pStyle w:val="10"/>
      <w:lvlText w:val="%1.%2.%3.%4.%5.%6.%7.%8"/>
      <w:lvlJc w:val="left"/>
      <w:pPr>
        <w:ind w:left="1409" w:hanging="1440"/>
      </w:pPr>
      <w:rPr>
        <w:rFonts w:hint="eastAsia"/>
      </w:rPr>
    </w:lvl>
    <w:lvl w:ilvl="8" w:tentative="0">
      <w:start w:val="1"/>
      <w:numFmt w:val="decimal"/>
      <w:pStyle w:val="11"/>
      <w:lvlText w:val="%1.%2.%3.%4.%5.%6.%7.%8.%9"/>
      <w:lvlJc w:val="left"/>
      <w:pPr>
        <w:ind w:left="1553" w:hanging="1584"/>
      </w:pPr>
      <w:rPr>
        <w:rFonts w:hint="eastAsia"/>
      </w:rPr>
    </w:lvl>
  </w:abstractNum>
  <w:abstractNum w:abstractNumId="1">
    <w:nsid w:val="7523AD21"/>
    <w:multiLevelType w:val="singleLevel"/>
    <w:tmpl w:val="7523AD21"/>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VjYThiY2M0NTJiMzNjNzFlZWFlNzAzOWZmNTYxZjUifQ=="/>
  </w:docVars>
  <w:rsids>
    <w:rsidRoot w:val="00BA0993"/>
    <w:rsid w:val="00006F04"/>
    <w:rsid w:val="000B2062"/>
    <w:rsid w:val="000C0486"/>
    <w:rsid w:val="001048D4"/>
    <w:rsid w:val="00137FAA"/>
    <w:rsid w:val="00203834"/>
    <w:rsid w:val="00261E03"/>
    <w:rsid w:val="002637EC"/>
    <w:rsid w:val="0031308A"/>
    <w:rsid w:val="00317D5E"/>
    <w:rsid w:val="00370054"/>
    <w:rsid w:val="003A4F46"/>
    <w:rsid w:val="004434CD"/>
    <w:rsid w:val="00493D08"/>
    <w:rsid w:val="00524E60"/>
    <w:rsid w:val="00570D01"/>
    <w:rsid w:val="00574FF9"/>
    <w:rsid w:val="005A44E9"/>
    <w:rsid w:val="005B68A8"/>
    <w:rsid w:val="005E324C"/>
    <w:rsid w:val="00675DB4"/>
    <w:rsid w:val="00680BD9"/>
    <w:rsid w:val="006B2E59"/>
    <w:rsid w:val="00703524"/>
    <w:rsid w:val="00706837"/>
    <w:rsid w:val="00755B02"/>
    <w:rsid w:val="00762437"/>
    <w:rsid w:val="00780120"/>
    <w:rsid w:val="007A117C"/>
    <w:rsid w:val="007D359C"/>
    <w:rsid w:val="00806FF6"/>
    <w:rsid w:val="008145D3"/>
    <w:rsid w:val="00831552"/>
    <w:rsid w:val="00AA0C37"/>
    <w:rsid w:val="00AC60DE"/>
    <w:rsid w:val="00BA0993"/>
    <w:rsid w:val="00C839BE"/>
    <w:rsid w:val="00CA7B9C"/>
    <w:rsid w:val="00D779B5"/>
    <w:rsid w:val="00D83F93"/>
    <w:rsid w:val="00DC727E"/>
    <w:rsid w:val="00DE243B"/>
    <w:rsid w:val="00E237C2"/>
    <w:rsid w:val="00EB5243"/>
    <w:rsid w:val="00F02E86"/>
    <w:rsid w:val="00F47DC6"/>
    <w:rsid w:val="00FA26BB"/>
    <w:rsid w:val="00FB600A"/>
    <w:rsid w:val="00FE7888"/>
    <w:rsid w:val="00FF3422"/>
    <w:rsid w:val="04673D9F"/>
    <w:rsid w:val="04D42AAB"/>
    <w:rsid w:val="04F33787"/>
    <w:rsid w:val="07C10826"/>
    <w:rsid w:val="0929337E"/>
    <w:rsid w:val="097B0B7E"/>
    <w:rsid w:val="09CE4F7E"/>
    <w:rsid w:val="0A284FB4"/>
    <w:rsid w:val="0A61573C"/>
    <w:rsid w:val="0BC3400A"/>
    <w:rsid w:val="0DD4242A"/>
    <w:rsid w:val="0F2A0D9B"/>
    <w:rsid w:val="0FC81459"/>
    <w:rsid w:val="124B5CCA"/>
    <w:rsid w:val="12731B93"/>
    <w:rsid w:val="14006B0F"/>
    <w:rsid w:val="14E20CAD"/>
    <w:rsid w:val="150C7E6E"/>
    <w:rsid w:val="159D454B"/>
    <w:rsid w:val="15DC4F2E"/>
    <w:rsid w:val="162A59B3"/>
    <w:rsid w:val="17393F01"/>
    <w:rsid w:val="179E7916"/>
    <w:rsid w:val="17E53404"/>
    <w:rsid w:val="182347F9"/>
    <w:rsid w:val="1AA17E76"/>
    <w:rsid w:val="1C4C416C"/>
    <w:rsid w:val="1DCA6AD1"/>
    <w:rsid w:val="1E8A4908"/>
    <w:rsid w:val="1F2160C4"/>
    <w:rsid w:val="1F4F4BD2"/>
    <w:rsid w:val="204A05F1"/>
    <w:rsid w:val="21713B43"/>
    <w:rsid w:val="22010E3A"/>
    <w:rsid w:val="22911B36"/>
    <w:rsid w:val="244F40DF"/>
    <w:rsid w:val="25287DC2"/>
    <w:rsid w:val="25D74BEA"/>
    <w:rsid w:val="25FA0F65"/>
    <w:rsid w:val="26161BA2"/>
    <w:rsid w:val="27277595"/>
    <w:rsid w:val="287A5E0A"/>
    <w:rsid w:val="28923071"/>
    <w:rsid w:val="28EC7EDD"/>
    <w:rsid w:val="29A206EB"/>
    <w:rsid w:val="29A3473A"/>
    <w:rsid w:val="2AAB5DE7"/>
    <w:rsid w:val="2B2C172B"/>
    <w:rsid w:val="2BB13AFD"/>
    <w:rsid w:val="2C32033A"/>
    <w:rsid w:val="2D2D2B9A"/>
    <w:rsid w:val="2EA77525"/>
    <w:rsid w:val="2EFA0ABB"/>
    <w:rsid w:val="2F6C3721"/>
    <w:rsid w:val="310C15ED"/>
    <w:rsid w:val="3134176A"/>
    <w:rsid w:val="3154222C"/>
    <w:rsid w:val="31A8769A"/>
    <w:rsid w:val="31EC1330"/>
    <w:rsid w:val="33DC2F46"/>
    <w:rsid w:val="34A53446"/>
    <w:rsid w:val="350F73E8"/>
    <w:rsid w:val="352A2B85"/>
    <w:rsid w:val="36156591"/>
    <w:rsid w:val="37246325"/>
    <w:rsid w:val="37F10EF0"/>
    <w:rsid w:val="384B1867"/>
    <w:rsid w:val="3AA0577F"/>
    <w:rsid w:val="3AC45E72"/>
    <w:rsid w:val="3B8E3258"/>
    <w:rsid w:val="3BAF793D"/>
    <w:rsid w:val="3CA7071D"/>
    <w:rsid w:val="41517F7B"/>
    <w:rsid w:val="43234C5C"/>
    <w:rsid w:val="43795F3E"/>
    <w:rsid w:val="442A5C2C"/>
    <w:rsid w:val="442F7279"/>
    <w:rsid w:val="44C804A0"/>
    <w:rsid w:val="44D01E0B"/>
    <w:rsid w:val="45286CA1"/>
    <w:rsid w:val="45AC03F8"/>
    <w:rsid w:val="46D76CB4"/>
    <w:rsid w:val="47273D2D"/>
    <w:rsid w:val="473C736B"/>
    <w:rsid w:val="47535F40"/>
    <w:rsid w:val="47871BF3"/>
    <w:rsid w:val="49720597"/>
    <w:rsid w:val="49A70CA2"/>
    <w:rsid w:val="4A6055A2"/>
    <w:rsid w:val="4AB009A2"/>
    <w:rsid w:val="4B057175"/>
    <w:rsid w:val="4B404C52"/>
    <w:rsid w:val="4B7414DB"/>
    <w:rsid w:val="4F5166AD"/>
    <w:rsid w:val="4F781E8C"/>
    <w:rsid w:val="4FA25A6E"/>
    <w:rsid w:val="506A0514"/>
    <w:rsid w:val="525A65B4"/>
    <w:rsid w:val="53585A6F"/>
    <w:rsid w:val="5380356D"/>
    <w:rsid w:val="545B357D"/>
    <w:rsid w:val="551C3527"/>
    <w:rsid w:val="55721B0D"/>
    <w:rsid w:val="55896605"/>
    <w:rsid w:val="57ED7E5A"/>
    <w:rsid w:val="58B44FC5"/>
    <w:rsid w:val="599E4BE5"/>
    <w:rsid w:val="5CA16EC6"/>
    <w:rsid w:val="5E0E2C5F"/>
    <w:rsid w:val="619C5EAE"/>
    <w:rsid w:val="61AD3862"/>
    <w:rsid w:val="632B4938"/>
    <w:rsid w:val="646F64A9"/>
    <w:rsid w:val="64752769"/>
    <w:rsid w:val="66F531A7"/>
    <w:rsid w:val="670F364C"/>
    <w:rsid w:val="674B1A8F"/>
    <w:rsid w:val="678F628F"/>
    <w:rsid w:val="67E647BE"/>
    <w:rsid w:val="686F0B55"/>
    <w:rsid w:val="689F5DD7"/>
    <w:rsid w:val="69D60E81"/>
    <w:rsid w:val="6A076735"/>
    <w:rsid w:val="6A5937E8"/>
    <w:rsid w:val="6B3477C6"/>
    <w:rsid w:val="6C30216B"/>
    <w:rsid w:val="6DBF7D15"/>
    <w:rsid w:val="6E2E2ECC"/>
    <w:rsid w:val="6E760C8E"/>
    <w:rsid w:val="6EA2087C"/>
    <w:rsid w:val="6FF12E2A"/>
    <w:rsid w:val="7016268B"/>
    <w:rsid w:val="72B551F5"/>
    <w:rsid w:val="72E621AC"/>
    <w:rsid w:val="7473613F"/>
    <w:rsid w:val="74845C34"/>
    <w:rsid w:val="75114065"/>
    <w:rsid w:val="75901E34"/>
    <w:rsid w:val="77710C55"/>
    <w:rsid w:val="79593D9E"/>
    <w:rsid w:val="7A5D11F6"/>
    <w:rsid w:val="7BA27DC6"/>
    <w:rsid w:val="7BDB0514"/>
    <w:rsid w:val="7D553689"/>
    <w:rsid w:val="7D9E2D7B"/>
    <w:rsid w:val="7DBD5EEA"/>
    <w:rsid w:val="7DE51306"/>
    <w:rsid w:val="7DF5573E"/>
    <w:rsid w:val="7E097A5B"/>
    <w:rsid w:val="7EEA7012"/>
    <w:rsid w:val="7F45772D"/>
    <w:rsid w:val="7F8871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0"/>
    <w:pPr>
      <w:keepNext/>
      <w:keepLines/>
      <w:numPr>
        <w:ilvl w:val="0"/>
        <w:numId w:val="1"/>
      </w:numPr>
      <w:tabs>
        <w:tab w:val="left" w:pos="425"/>
      </w:tabs>
      <w:spacing w:before="120" w:after="120" w:line="360" w:lineRule="auto"/>
      <w:outlineLvl w:val="0"/>
    </w:pPr>
    <w:rPr>
      <w:rFonts w:ascii="Times New Roman" w:hAnsi="Times New Roman" w:eastAsia="宋体" w:cs="Times New Roman"/>
      <w:b/>
      <w:bCs/>
      <w:kern w:val="44"/>
      <w:sz w:val="32"/>
      <w:szCs w:val="28"/>
    </w:rPr>
  </w:style>
  <w:style w:type="paragraph" w:styleId="3">
    <w:name w:val="heading 2"/>
    <w:basedOn w:val="4"/>
    <w:next w:val="5"/>
    <w:link w:val="35"/>
    <w:qFormat/>
    <w:uiPriority w:val="0"/>
    <w:pPr>
      <w:numPr>
        <w:ilvl w:val="1"/>
      </w:numPr>
      <w:tabs>
        <w:tab w:val="left" w:pos="567"/>
      </w:tabs>
      <w:outlineLvl w:val="1"/>
    </w:pPr>
    <w:rPr>
      <w:sz w:val="30"/>
    </w:rPr>
  </w:style>
  <w:style w:type="paragraph" w:styleId="4">
    <w:name w:val="heading 3"/>
    <w:basedOn w:val="1"/>
    <w:next w:val="5"/>
    <w:link w:val="36"/>
    <w:qFormat/>
    <w:uiPriority w:val="0"/>
    <w:pPr>
      <w:keepNext/>
      <w:keepLines/>
      <w:numPr>
        <w:ilvl w:val="2"/>
        <w:numId w:val="1"/>
      </w:numPr>
      <w:tabs>
        <w:tab w:val="left" w:pos="567"/>
      </w:tabs>
      <w:spacing w:before="120" w:after="120" w:line="360" w:lineRule="auto"/>
      <w:ind w:left="283"/>
      <w:outlineLvl w:val="2"/>
    </w:pPr>
    <w:rPr>
      <w:rFonts w:ascii="Times New Roman" w:hAnsi="Times New Roman" w:eastAsia="宋体" w:cs="Times New Roman"/>
      <w:b/>
      <w:bCs/>
      <w:sz w:val="28"/>
      <w:szCs w:val="18"/>
    </w:rPr>
  </w:style>
  <w:style w:type="paragraph" w:styleId="6">
    <w:name w:val="heading 4"/>
    <w:basedOn w:val="1"/>
    <w:next w:val="1"/>
    <w:link w:val="37"/>
    <w:qFormat/>
    <w:uiPriority w:val="0"/>
    <w:pPr>
      <w:keepNext/>
      <w:keepLines/>
      <w:numPr>
        <w:ilvl w:val="3"/>
        <w:numId w:val="1"/>
      </w:numPr>
      <w:tabs>
        <w:tab w:val="left" w:pos="504"/>
      </w:tabs>
      <w:spacing w:before="120" w:after="120" w:line="360" w:lineRule="auto"/>
      <w:jc w:val="left"/>
      <w:outlineLvl w:val="3"/>
    </w:pPr>
    <w:rPr>
      <w:rFonts w:ascii="Times New Roman" w:hAnsi="Arial" w:eastAsia="宋体" w:cs="Times New Roman"/>
      <w:b/>
      <w:bCs/>
      <w:sz w:val="24"/>
      <w:szCs w:val="28"/>
    </w:rPr>
  </w:style>
  <w:style w:type="paragraph" w:styleId="7">
    <w:name w:val="heading 5"/>
    <w:basedOn w:val="1"/>
    <w:next w:val="1"/>
    <w:link w:val="38"/>
    <w:qFormat/>
    <w:uiPriority w:val="0"/>
    <w:pPr>
      <w:keepNext/>
      <w:keepLines/>
      <w:numPr>
        <w:ilvl w:val="4"/>
        <w:numId w:val="1"/>
      </w:numPr>
      <w:spacing w:before="280" w:after="290" w:line="372" w:lineRule="auto"/>
      <w:ind w:firstLine="0"/>
      <w:jc w:val="left"/>
      <w:outlineLvl w:val="4"/>
    </w:pPr>
    <w:rPr>
      <w:rFonts w:ascii="Times New Roman" w:hAnsi="Times New Roman" w:eastAsia="宋体" w:cs="Times New Roman"/>
      <w:b/>
      <w:bCs/>
      <w:sz w:val="28"/>
      <w:szCs w:val="28"/>
    </w:rPr>
  </w:style>
  <w:style w:type="paragraph" w:styleId="8">
    <w:name w:val="heading 6"/>
    <w:basedOn w:val="7"/>
    <w:next w:val="1"/>
    <w:link w:val="39"/>
    <w:qFormat/>
    <w:uiPriority w:val="0"/>
    <w:pPr>
      <w:numPr>
        <w:ilvl w:val="5"/>
      </w:numPr>
      <w:tabs>
        <w:tab w:val="left" w:pos="1440"/>
      </w:tabs>
      <w:spacing w:before="260" w:after="260" w:line="360" w:lineRule="auto"/>
      <w:outlineLvl w:val="5"/>
    </w:pPr>
    <w:rPr>
      <w:sz w:val="30"/>
      <w:szCs w:val="18"/>
    </w:rPr>
  </w:style>
  <w:style w:type="paragraph" w:styleId="9">
    <w:name w:val="heading 7"/>
    <w:basedOn w:val="8"/>
    <w:next w:val="1"/>
    <w:link w:val="40"/>
    <w:qFormat/>
    <w:uiPriority w:val="0"/>
    <w:pPr>
      <w:numPr>
        <w:ilvl w:val="6"/>
      </w:numPr>
      <w:tabs>
        <w:tab w:val="left" w:pos="1800"/>
        <w:tab w:val="clear" w:pos="1440"/>
      </w:tabs>
      <w:outlineLvl w:val="6"/>
    </w:pPr>
  </w:style>
  <w:style w:type="paragraph" w:styleId="10">
    <w:name w:val="heading 8"/>
    <w:basedOn w:val="9"/>
    <w:next w:val="1"/>
    <w:link w:val="41"/>
    <w:qFormat/>
    <w:uiPriority w:val="0"/>
    <w:pPr>
      <w:numPr>
        <w:ilvl w:val="7"/>
      </w:numPr>
      <w:outlineLvl w:val="7"/>
    </w:pPr>
  </w:style>
  <w:style w:type="paragraph" w:styleId="11">
    <w:name w:val="heading 9"/>
    <w:basedOn w:val="10"/>
    <w:next w:val="1"/>
    <w:link w:val="42"/>
    <w:qFormat/>
    <w:uiPriority w:val="0"/>
    <w:pPr>
      <w:numPr>
        <w:ilvl w:val="8"/>
      </w:numPr>
      <w:tabs>
        <w:tab w:val="left" w:pos="2160"/>
        <w:tab w:val="clear" w:pos="1800"/>
      </w:tabs>
      <w:outlineLvl w:val="8"/>
    </w:p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spacing w:line="360" w:lineRule="auto"/>
      <w:ind w:firstLine="150" w:firstLineChars="150"/>
      <w:jc w:val="left"/>
    </w:pPr>
    <w:rPr>
      <w:rFonts w:ascii="Times New Roman" w:hAnsi="Times New Roman" w:eastAsia="宋体" w:cs="Times New Roman"/>
      <w:sz w:val="24"/>
      <w:szCs w:val="24"/>
    </w:rPr>
  </w:style>
  <w:style w:type="paragraph" w:styleId="12">
    <w:name w:val="Balloon Text"/>
    <w:basedOn w:val="1"/>
    <w:link w:val="33"/>
    <w:semiHidden/>
    <w:unhideWhenUsed/>
    <w:qFormat/>
    <w:uiPriority w:val="99"/>
    <w:rPr>
      <w:sz w:val="18"/>
      <w:szCs w:val="18"/>
    </w:rPr>
  </w:style>
  <w:style w:type="paragraph" w:styleId="13">
    <w:name w:val="footer"/>
    <w:basedOn w:val="1"/>
    <w:link w:val="32"/>
    <w:unhideWhenUsed/>
    <w:qFormat/>
    <w:uiPriority w:val="99"/>
    <w:pPr>
      <w:tabs>
        <w:tab w:val="center" w:pos="4153"/>
        <w:tab w:val="right" w:pos="8306"/>
      </w:tabs>
      <w:snapToGrid w:val="0"/>
      <w:jc w:val="left"/>
    </w:pPr>
    <w:rPr>
      <w:sz w:val="18"/>
      <w:szCs w:val="18"/>
    </w:rPr>
  </w:style>
  <w:style w:type="paragraph" w:styleId="14">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style>
  <w:style w:type="paragraph" w:styleId="16">
    <w:name w:val="toc 2"/>
    <w:basedOn w:val="1"/>
    <w:next w:val="1"/>
    <w:semiHidden/>
    <w:unhideWhenUsed/>
    <w:qFormat/>
    <w:uiPriority w:val="39"/>
    <w:pPr>
      <w:ind w:left="420" w:leftChars="200"/>
    </w:pPr>
  </w:style>
  <w:style w:type="character" w:styleId="19">
    <w:name w:val="Strong"/>
    <w:basedOn w:val="18"/>
    <w:qFormat/>
    <w:uiPriority w:val="22"/>
    <w:rPr>
      <w:b/>
    </w:rPr>
  </w:style>
  <w:style w:type="character" w:styleId="20">
    <w:name w:val="FollowedHyperlink"/>
    <w:basedOn w:val="18"/>
    <w:semiHidden/>
    <w:unhideWhenUsed/>
    <w:qFormat/>
    <w:uiPriority w:val="99"/>
    <w:rPr>
      <w:color w:val="800080"/>
      <w:u w:val="none"/>
    </w:rPr>
  </w:style>
  <w:style w:type="character" w:styleId="21">
    <w:name w:val="Emphasis"/>
    <w:basedOn w:val="18"/>
    <w:qFormat/>
    <w:uiPriority w:val="20"/>
    <w:rPr>
      <w:rFonts w:ascii="ActionIcon ! important" w:hAnsi="ActionIcon ! important" w:eastAsia="ActionIcon ! important" w:cs="ActionIcon ! important"/>
      <w:b/>
      <w:vanish/>
      <w:color w:val="3D4B62"/>
      <w:sz w:val="24"/>
      <w:szCs w:val="24"/>
    </w:rPr>
  </w:style>
  <w:style w:type="character" w:styleId="22">
    <w:name w:val="HTML Definition"/>
    <w:basedOn w:val="18"/>
    <w:semiHidden/>
    <w:unhideWhenUsed/>
    <w:qFormat/>
    <w:uiPriority w:val="99"/>
  </w:style>
  <w:style w:type="character" w:styleId="23">
    <w:name w:val="HTML Typewriter"/>
    <w:basedOn w:val="18"/>
    <w:semiHidden/>
    <w:unhideWhenUsed/>
    <w:qFormat/>
    <w:uiPriority w:val="99"/>
    <w:rPr>
      <w:rFonts w:hint="default" w:ascii="monospace" w:hAnsi="monospace" w:eastAsia="monospace" w:cs="monospace"/>
      <w:sz w:val="20"/>
    </w:rPr>
  </w:style>
  <w:style w:type="character" w:styleId="24">
    <w:name w:val="HTML Acronym"/>
    <w:basedOn w:val="18"/>
    <w:semiHidden/>
    <w:unhideWhenUsed/>
    <w:qFormat/>
    <w:uiPriority w:val="99"/>
  </w:style>
  <w:style w:type="character" w:styleId="25">
    <w:name w:val="HTML Variable"/>
    <w:basedOn w:val="18"/>
    <w:semiHidden/>
    <w:unhideWhenUsed/>
    <w:qFormat/>
    <w:uiPriority w:val="99"/>
  </w:style>
  <w:style w:type="character" w:styleId="26">
    <w:name w:val="Hyperlink"/>
    <w:qFormat/>
    <w:uiPriority w:val="99"/>
    <w:rPr>
      <w:color w:val="0000FF"/>
      <w:u w:val="single"/>
    </w:rPr>
  </w:style>
  <w:style w:type="character" w:styleId="27">
    <w:name w:val="HTML Code"/>
    <w:basedOn w:val="18"/>
    <w:semiHidden/>
    <w:unhideWhenUsed/>
    <w:qFormat/>
    <w:uiPriority w:val="99"/>
    <w:rPr>
      <w:rFonts w:ascii="monospace" w:hAnsi="monospace" w:eastAsia="monospace" w:cs="monospace"/>
      <w:sz w:val="20"/>
    </w:rPr>
  </w:style>
  <w:style w:type="character" w:styleId="28">
    <w:name w:val="HTML Cite"/>
    <w:basedOn w:val="18"/>
    <w:semiHidden/>
    <w:unhideWhenUsed/>
    <w:qFormat/>
    <w:uiPriority w:val="99"/>
  </w:style>
  <w:style w:type="character" w:styleId="29">
    <w:name w:val="HTML Keyboard"/>
    <w:basedOn w:val="18"/>
    <w:semiHidden/>
    <w:unhideWhenUsed/>
    <w:qFormat/>
    <w:uiPriority w:val="99"/>
    <w:rPr>
      <w:rFonts w:hint="default" w:ascii="monospace" w:hAnsi="monospace" w:eastAsia="monospace" w:cs="monospace"/>
      <w:sz w:val="20"/>
    </w:rPr>
  </w:style>
  <w:style w:type="character" w:styleId="30">
    <w:name w:val="HTML Sample"/>
    <w:basedOn w:val="18"/>
    <w:semiHidden/>
    <w:unhideWhenUsed/>
    <w:qFormat/>
    <w:uiPriority w:val="99"/>
    <w:rPr>
      <w:rFonts w:hint="default" w:ascii="monospace" w:hAnsi="monospace" w:eastAsia="monospace" w:cs="monospace"/>
    </w:rPr>
  </w:style>
  <w:style w:type="character" w:customStyle="1" w:styleId="31">
    <w:name w:val="页眉 Char"/>
    <w:basedOn w:val="18"/>
    <w:link w:val="14"/>
    <w:qFormat/>
    <w:uiPriority w:val="99"/>
    <w:rPr>
      <w:sz w:val="18"/>
      <w:szCs w:val="18"/>
    </w:rPr>
  </w:style>
  <w:style w:type="character" w:customStyle="1" w:styleId="32">
    <w:name w:val="页脚 Char"/>
    <w:basedOn w:val="18"/>
    <w:link w:val="13"/>
    <w:qFormat/>
    <w:uiPriority w:val="99"/>
    <w:rPr>
      <w:sz w:val="18"/>
      <w:szCs w:val="18"/>
    </w:rPr>
  </w:style>
  <w:style w:type="character" w:customStyle="1" w:styleId="33">
    <w:name w:val="批注框文本 Char"/>
    <w:basedOn w:val="18"/>
    <w:link w:val="12"/>
    <w:semiHidden/>
    <w:qFormat/>
    <w:uiPriority w:val="99"/>
    <w:rPr>
      <w:sz w:val="18"/>
      <w:szCs w:val="18"/>
    </w:rPr>
  </w:style>
  <w:style w:type="character" w:customStyle="1" w:styleId="34">
    <w:name w:val="标题 1 Char"/>
    <w:basedOn w:val="18"/>
    <w:link w:val="2"/>
    <w:qFormat/>
    <w:uiPriority w:val="0"/>
    <w:rPr>
      <w:rFonts w:ascii="Times New Roman" w:hAnsi="Times New Roman" w:eastAsia="宋体" w:cs="Times New Roman"/>
      <w:b/>
      <w:bCs/>
      <w:kern w:val="44"/>
      <w:sz w:val="32"/>
      <w:szCs w:val="28"/>
    </w:rPr>
  </w:style>
  <w:style w:type="character" w:customStyle="1" w:styleId="35">
    <w:name w:val="标题 2 Char"/>
    <w:basedOn w:val="18"/>
    <w:link w:val="3"/>
    <w:qFormat/>
    <w:uiPriority w:val="0"/>
    <w:rPr>
      <w:rFonts w:ascii="Times New Roman" w:hAnsi="Times New Roman" w:eastAsia="宋体" w:cs="Times New Roman"/>
      <w:b/>
      <w:bCs/>
      <w:sz w:val="30"/>
      <w:szCs w:val="18"/>
    </w:rPr>
  </w:style>
  <w:style w:type="character" w:customStyle="1" w:styleId="36">
    <w:name w:val="标题 3 Char"/>
    <w:basedOn w:val="18"/>
    <w:link w:val="4"/>
    <w:qFormat/>
    <w:uiPriority w:val="0"/>
    <w:rPr>
      <w:rFonts w:ascii="Times New Roman" w:hAnsi="Times New Roman" w:eastAsia="宋体" w:cs="Times New Roman"/>
      <w:b/>
      <w:bCs/>
      <w:sz w:val="28"/>
      <w:szCs w:val="18"/>
    </w:rPr>
  </w:style>
  <w:style w:type="character" w:customStyle="1" w:styleId="37">
    <w:name w:val="标题 4 Char"/>
    <w:basedOn w:val="18"/>
    <w:link w:val="6"/>
    <w:qFormat/>
    <w:uiPriority w:val="0"/>
    <w:rPr>
      <w:rFonts w:ascii="Times New Roman" w:hAnsi="Arial" w:eastAsia="宋体" w:cs="Times New Roman"/>
      <w:b/>
      <w:bCs/>
      <w:sz w:val="24"/>
      <w:szCs w:val="28"/>
    </w:rPr>
  </w:style>
  <w:style w:type="character" w:customStyle="1" w:styleId="38">
    <w:name w:val="标题 5 Char"/>
    <w:basedOn w:val="18"/>
    <w:link w:val="7"/>
    <w:qFormat/>
    <w:uiPriority w:val="0"/>
    <w:rPr>
      <w:rFonts w:ascii="Times New Roman" w:hAnsi="Times New Roman" w:eastAsia="宋体" w:cs="Times New Roman"/>
      <w:b/>
      <w:bCs/>
      <w:sz w:val="28"/>
      <w:szCs w:val="28"/>
    </w:rPr>
  </w:style>
  <w:style w:type="character" w:customStyle="1" w:styleId="39">
    <w:name w:val="标题 6 Char"/>
    <w:basedOn w:val="18"/>
    <w:link w:val="8"/>
    <w:qFormat/>
    <w:uiPriority w:val="0"/>
    <w:rPr>
      <w:rFonts w:ascii="Times New Roman" w:hAnsi="Times New Roman" w:eastAsia="宋体" w:cs="Times New Roman"/>
      <w:b/>
      <w:bCs/>
      <w:sz w:val="30"/>
      <w:szCs w:val="18"/>
    </w:rPr>
  </w:style>
  <w:style w:type="character" w:customStyle="1" w:styleId="40">
    <w:name w:val="标题 7 Char"/>
    <w:basedOn w:val="18"/>
    <w:link w:val="9"/>
    <w:qFormat/>
    <w:uiPriority w:val="0"/>
    <w:rPr>
      <w:rFonts w:ascii="Times New Roman" w:hAnsi="Times New Roman" w:eastAsia="宋体" w:cs="Times New Roman"/>
      <w:b/>
      <w:bCs/>
      <w:sz w:val="30"/>
      <w:szCs w:val="18"/>
    </w:rPr>
  </w:style>
  <w:style w:type="character" w:customStyle="1" w:styleId="41">
    <w:name w:val="标题 8 Char"/>
    <w:basedOn w:val="18"/>
    <w:link w:val="10"/>
    <w:qFormat/>
    <w:uiPriority w:val="0"/>
    <w:rPr>
      <w:rFonts w:ascii="Times New Roman" w:hAnsi="Times New Roman" w:eastAsia="宋体" w:cs="Times New Roman"/>
      <w:b/>
      <w:bCs/>
      <w:sz w:val="30"/>
      <w:szCs w:val="18"/>
    </w:rPr>
  </w:style>
  <w:style w:type="character" w:customStyle="1" w:styleId="42">
    <w:name w:val="标题 9 Char"/>
    <w:basedOn w:val="18"/>
    <w:link w:val="11"/>
    <w:qFormat/>
    <w:uiPriority w:val="0"/>
    <w:rPr>
      <w:rFonts w:ascii="Times New Roman" w:hAnsi="Times New Roman" w:eastAsia="宋体" w:cs="Times New Roman"/>
      <w:b/>
      <w:bCs/>
      <w:sz w:val="30"/>
      <w:szCs w:val="18"/>
    </w:rPr>
  </w:style>
  <w:style w:type="paragraph" w:customStyle="1" w:styleId="43">
    <w:name w:val="1"/>
    <w:basedOn w:val="1"/>
    <w:link w:val="44"/>
    <w:qFormat/>
    <w:uiPriority w:val="0"/>
    <w:pPr>
      <w:spacing w:line="360" w:lineRule="auto"/>
      <w:jc w:val="left"/>
    </w:pPr>
    <w:rPr>
      <w:rFonts w:ascii="Times New Roman" w:hAnsi="Times New Roman" w:eastAsia="宋体" w:cs="Times New Roman"/>
      <w:szCs w:val="24"/>
    </w:rPr>
  </w:style>
  <w:style w:type="character" w:customStyle="1" w:styleId="44">
    <w:name w:val="1 Char"/>
    <w:link w:val="43"/>
    <w:qFormat/>
    <w:uiPriority w:val="0"/>
    <w:rPr>
      <w:rFonts w:ascii="Times New Roman" w:hAnsi="Times New Roman" w:eastAsia="宋体" w:cs="Times New Roman"/>
      <w:szCs w:val="24"/>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Pages>
  <Words>1776</Words>
  <Characters>1892</Characters>
  <Lines>17</Lines>
  <Paragraphs>5</Paragraphs>
  <TotalTime>0</TotalTime>
  <ScaleCrop>false</ScaleCrop>
  <LinksUpToDate>false</LinksUpToDate>
  <CharactersWithSpaces>1944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2022-05-25T10:03:00Z</dcterms:created>
  <dc:creator>陈琼</dc:creator>
  <cp:lastModifiedBy>高阳</cp:lastModifiedBy>
  <dcterms:modified xsi:type="dcterms:W3CDTF">2023-02-20T02:55:28Z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3CD15EE9133644D4BF310CF596450726</vt:lpwstr>
  </property>
</Properties>
</file>