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黑体"/>
          <w:sz w:val="36"/>
          <w:szCs w:val="36"/>
          <w:lang w:val="en"/>
        </w:rPr>
      </w:pPr>
      <w:r>
        <w:rPr>
          <w:rFonts w:hint="eastAsia" w:ascii="黑体" w:hAnsi="黑体" w:eastAsia="黑体" w:cs="黑体"/>
          <w:sz w:val="36"/>
          <w:szCs w:val="36"/>
        </w:rPr>
        <w:t>湖南省公共资源交易中心矿</w:t>
      </w:r>
      <w:r>
        <w:rPr>
          <w:rFonts w:hint="eastAsia" w:ascii="黑体" w:hAnsi="黑体" w:eastAsia="黑体" w:cs="黑体"/>
          <w:sz w:val="36"/>
          <w:szCs w:val="36"/>
          <w:lang w:eastAsia="zh-CN"/>
        </w:rPr>
        <w:t>业</w:t>
      </w:r>
      <w:r>
        <w:rPr>
          <w:rFonts w:hint="eastAsia" w:ascii="黑体" w:hAnsi="黑体" w:eastAsia="黑体" w:cs="黑体"/>
          <w:sz w:val="36"/>
          <w:szCs w:val="36"/>
        </w:rPr>
        <w:t>权交易平台操作</w:t>
      </w:r>
      <w:r>
        <w:rPr>
          <w:rFonts w:ascii="黑体" w:hAnsi="黑体" w:eastAsia="黑体" w:cs="黑体"/>
          <w:sz w:val="36"/>
          <w:szCs w:val="36"/>
          <w:lang w:val="en"/>
        </w:rPr>
        <w:t>规程</w:t>
      </w:r>
    </w:p>
    <w:tbl>
      <w:tblPr>
        <w:tblStyle w:val="7"/>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7"/>
        <w:gridCol w:w="522"/>
        <w:gridCol w:w="1135"/>
        <w:gridCol w:w="1320"/>
        <w:gridCol w:w="753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tblHeader/>
          <w:jc w:val="center"/>
        </w:trPr>
        <w:tc>
          <w:tcPr>
            <w:tcW w:w="267" w:type="pct"/>
            <w:vMerge w:val="restart"/>
            <w:shd w:val="clear" w:color="auto" w:fill="F1F1F1"/>
            <w:vAlign w:val="center"/>
          </w:tcPr>
          <w:p>
            <w:pPr>
              <w:widowControl/>
              <w:snapToGrid w:val="0"/>
              <w:spacing w:line="200" w:lineRule="atLeast"/>
              <w:jc w:val="center"/>
              <w:textAlignment w:val="center"/>
              <w:rPr>
                <w:rFonts w:ascii="黑体" w:hAnsi="黑体" w:eastAsia="黑体" w:cs="黑体"/>
                <w:bCs/>
                <w:kern w:val="0"/>
                <w:sz w:val="24"/>
                <w:lang w:bidi="ar"/>
              </w:rPr>
            </w:pPr>
            <w:r>
              <w:rPr>
                <w:rFonts w:hint="eastAsia" w:ascii="黑体" w:hAnsi="黑体" w:eastAsia="黑体" w:cs="黑体"/>
                <w:bCs/>
                <w:kern w:val="0"/>
                <w:sz w:val="24"/>
                <w:lang w:bidi="ar"/>
              </w:rPr>
              <w:t>交易</w:t>
            </w:r>
          </w:p>
          <w:p>
            <w:pPr>
              <w:widowControl/>
              <w:snapToGrid w:val="0"/>
              <w:spacing w:line="200" w:lineRule="atLeast"/>
              <w:jc w:val="center"/>
              <w:textAlignment w:val="center"/>
              <w:rPr>
                <w:rFonts w:ascii="黑体" w:hAnsi="黑体" w:eastAsia="黑体" w:cs="黑体"/>
                <w:bCs/>
                <w:sz w:val="24"/>
              </w:rPr>
            </w:pPr>
            <w:r>
              <w:rPr>
                <w:rFonts w:hint="eastAsia" w:ascii="黑体" w:hAnsi="黑体" w:eastAsia="黑体" w:cs="黑体"/>
                <w:bCs/>
                <w:kern w:val="0"/>
                <w:sz w:val="24"/>
                <w:lang w:bidi="ar"/>
              </w:rPr>
              <w:t>环节</w:t>
            </w:r>
          </w:p>
        </w:tc>
        <w:tc>
          <w:tcPr>
            <w:tcW w:w="1141" w:type="pct"/>
            <w:gridSpan w:val="3"/>
            <w:shd w:val="clear" w:color="auto" w:fill="F1F1F1"/>
            <w:vAlign w:val="center"/>
          </w:tcPr>
          <w:p>
            <w:pPr>
              <w:widowControl/>
              <w:snapToGrid w:val="0"/>
              <w:spacing w:line="200" w:lineRule="atLeast"/>
              <w:jc w:val="center"/>
              <w:textAlignment w:val="center"/>
              <w:rPr>
                <w:rFonts w:ascii="黑体" w:hAnsi="黑体" w:eastAsia="黑体" w:cs="黑体"/>
                <w:bCs/>
                <w:sz w:val="24"/>
              </w:rPr>
            </w:pPr>
            <w:r>
              <w:rPr>
                <w:rFonts w:hint="eastAsia" w:ascii="黑体" w:hAnsi="黑体" w:eastAsia="黑体" w:cs="黑体"/>
                <w:bCs/>
                <w:kern w:val="0"/>
                <w:sz w:val="24"/>
                <w:lang w:bidi="ar"/>
              </w:rPr>
              <w:t>交易流程</w:t>
            </w:r>
          </w:p>
        </w:tc>
        <w:tc>
          <w:tcPr>
            <w:tcW w:w="2890" w:type="pct"/>
            <w:tcBorders>
              <w:right w:val="single" w:color="auto" w:sz="4" w:space="0"/>
            </w:tcBorders>
            <w:shd w:val="clear" w:color="auto" w:fill="F1F1F1"/>
            <w:vAlign w:val="center"/>
          </w:tcPr>
          <w:p>
            <w:pPr>
              <w:widowControl/>
              <w:snapToGrid w:val="0"/>
              <w:spacing w:line="200" w:lineRule="atLeast"/>
              <w:jc w:val="center"/>
              <w:textAlignment w:val="center"/>
              <w:rPr>
                <w:rFonts w:ascii="黑体" w:hAnsi="黑体" w:eastAsia="黑体" w:cs="黑体"/>
                <w:sz w:val="24"/>
                <w:lang w:val="en"/>
              </w:rPr>
            </w:pPr>
            <w:r>
              <w:rPr>
                <w:rFonts w:hint="eastAsia" w:ascii="黑体" w:hAnsi="黑体" w:eastAsia="黑体" w:cs="黑体"/>
                <w:kern w:val="0"/>
                <w:sz w:val="24"/>
                <w:lang w:val="en" w:bidi="ar"/>
              </w:rPr>
              <w:t>工作规程</w:t>
            </w:r>
          </w:p>
        </w:tc>
        <w:tc>
          <w:tcPr>
            <w:tcW w:w="700" w:type="pct"/>
            <w:tcBorders>
              <w:right w:val="single" w:color="auto" w:sz="4" w:space="0"/>
            </w:tcBorders>
            <w:shd w:val="clear" w:color="auto" w:fill="F1F1F1"/>
            <w:vAlign w:val="center"/>
          </w:tcPr>
          <w:p>
            <w:pPr>
              <w:widowControl/>
              <w:snapToGrid w:val="0"/>
              <w:spacing w:line="200" w:lineRule="atLeast"/>
              <w:jc w:val="center"/>
              <w:textAlignment w:val="center"/>
              <w:rPr>
                <w:rFonts w:ascii="黑体" w:hAnsi="黑体" w:eastAsia="黑体" w:cs="黑体"/>
                <w:kern w:val="0"/>
                <w:sz w:val="24"/>
                <w:lang w:val="en" w:bidi="ar"/>
              </w:rPr>
            </w:pPr>
            <w:r>
              <w:rPr>
                <w:rFonts w:hint="eastAsia" w:ascii="黑体" w:hAnsi="黑体" w:eastAsia="黑体" w:cs="黑体"/>
                <w:kern w:val="0"/>
                <w:sz w:val="24"/>
                <w:lang w:val="en" w:bidi="ar"/>
              </w:rPr>
              <w:t>工作主体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tblHeader/>
          <w:jc w:val="center"/>
        </w:trPr>
        <w:tc>
          <w:tcPr>
            <w:tcW w:w="267" w:type="pct"/>
            <w:vMerge w:val="continue"/>
            <w:shd w:val="clear" w:color="auto" w:fill="F1F1F1"/>
            <w:vAlign w:val="center"/>
          </w:tcPr>
          <w:p>
            <w:pPr>
              <w:widowControl/>
              <w:snapToGrid w:val="0"/>
              <w:spacing w:line="200" w:lineRule="atLeast"/>
              <w:jc w:val="center"/>
              <w:rPr>
                <w:rFonts w:ascii="黑体" w:hAnsi="黑体" w:eastAsia="黑体" w:cs="黑体"/>
                <w:bCs/>
                <w:sz w:val="24"/>
              </w:rPr>
            </w:pPr>
          </w:p>
        </w:tc>
        <w:tc>
          <w:tcPr>
            <w:tcW w:w="200"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sz w:val="24"/>
              </w:rPr>
              <w:t>序号</w:t>
            </w:r>
          </w:p>
        </w:tc>
        <w:tc>
          <w:tcPr>
            <w:tcW w:w="435"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sz w:val="24"/>
              </w:rPr>
              <w:t>工作环节</w:t>
            </w:r>
          </w:p>
        </w:tc>
        <w:tc>
          <w:tcPr>
            <w:tcW w:w="506" w:type="pct"/>
            <w:shd w:val="clear" w:color="auto" w:fill="F1F1F1"/>
            <w:vAlign w:val="center"/>
          </w:tcPr>
          <w:p>
            <w:pPr>
              <w:widowControl/>
              <w:snapToGrid w:val="0"/>
              <w:spacing w:line="200" w:lineRule="atLeast"/>
              <w:jc w:val="center"/>
              <w:rPr>
                <w:rFonts w:ascii="黑体" w:hAnsi="黑体" w:eastAsia="黑体" w:cs="黑体"/>
                <w:bCs/>
                <w:sz w:val="24"/>
              </w:rPr>
            </w:pPr>
            <w:r>
              <w:rPr>
                <w:rFonts w:hint="eastAsia" w:ascii="黑体" w:hAnsi="黑体" w:eastAsia="黑体" w:cs="黑体"/>
                <w:bCs/>
                <w:kern w:val="0"/>
                <w:sz w:val="24"/>
                <w:lang w:bidi="ar"/>
              </w:rPr>
              <w:t>工作内容</w:t>
            </w:r>
          </w:p>
        </w:tc>
        <w:tc>
          <w:tcPr>
            <w:tcW w:w="2890" w:type="pct"/>
            <w:tcBorders>
              <w:right w:val="single" w:color="auto" w:sz="4" w:space="0"/>
            </w:tcBorders>
            <w:shd w:val="clear" w:color="auto" w:fill="F1F1F1"/>
            <w:vAlign w:val="center"/>
          </w:tcPr>
          <w:p>
            <w:pPr>
              <w:widowControl/>
              <w:snapToGrid w:val="0"/>
              <w:spacing w:line="200" w:lineRule="atLeast"/>
              <w:jc w:val="center"/>
              <w:textAlignment w:val="center"/>
              <w:rPr>
                <w:rFonts w:ascii="仿宋" w:hAnsi="仿宋" w:eastAsia="仿宋" w:cs="仿宋"/>
                <w:b/>
                <w:bCs/>
                <w:sz w:val="24"/>
              </w:rPr>
            </w:pPr>
          </w:p>
        </w:tc>
        <w:tc>
          <w:tcPr>
            <w:tcW w:w="700" w:type="pct"/>
            <w:tcBorders>
              <w:right w:val="single" w:color="auto" w:sz="4" w:space="0"/>
            </w:tcBorders>
            <w:shd w:val="clear" w:color="auto" w:fill="F1F1F1"/>
            <w:vAlign w:val="center"/>
          </w:tcPr>
          <w:p>
            <w:pPr>
              <w:widowControl/>
              <w:snapToGrid w:val="0"/>
              <w:spacing w:line="200" w:lineRule="atLeast"/>
              <w:jc w:val="center"/>
              <w:textAlignment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513" w:hRule="atLeast"/>
          <w:jc w:val="center"/>
        </w:trPr>
        <w:tc>
          <w:tcPr>
            <w:tcW w:w="267" w:type="pct"/>
            <w:vMerge w:val="restart"/>
            <w:vAlign w:val="center"/>
          </w:tcPr>
          <w:p>
            <w:pPr>
              <w:rPr>
                <w:rFonts w:ascii="仿宋" w:hAnsi="仿宋" w:eastAsia="仿宋" w:cs="仿宋"/>
                <w:sz w:val="24"/>
              </w:rPr>
            </w:pPr>
            <w:r>
              <w:rPr>
                <w:rFonts w:hint="eastAsia" w:ascii="仿宋" w:hAnsi="仿宋" w:eastAsia="仿宋" w:cs="仿宋"/>
                <w:sz w:val="24"/>
              </w:rPr>
              <w:t>挂牌前</w:t>
            </w:r>
          </w:p>
        </w:tc>
        <w:tc>
          <w:tcPr>
            <w:tcW w:w="200" w:type="pct"/>
            <w:vMerge w:val="restart"/>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一</w:t>
            </w:r>
          </w:p>
        </w:tc>
        <w:tc>
          <w:tcPr>
            <w:tcW w:w="435" w:type="pct"/>
            <w:vMerge w:val="restart"/>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项目受理</w:t>
            </w:r>
          </w:p>
        </w:tc>
        <w:tc>
          <w:tcPr>
            <w:tcW w:w="506" w:type="pct"/>
            <w:vAlign w:val="center"/>
          </w:tcPr>
          <w:p>
            <w:pPr>
              <w:widowControl/>
              <w:snapToGrid w:val="0"/>
              <w:spacing w:line="200" w:lineRule="atLeast"/>
              <w:textAlignment w:val="center"/>
              <w:rPr>
                <w:rFonts w:ascii="仿宋" w:hAnsi="仿宋" w:eastAsia="仿宋" w:cs="仿宋"/>
                <w:kern w:val="0"/>
                <w:sz w:val="24"/>
                <w:lang w:bidi="ar"/>
              </w:rPr>
            </w:pPr>
            <w:r>
              <w:rPr>
                <w:rFonts w:hint="eastAsia" w:ascii="仿宋" w:hAnsi="仿宋" w:eastAsia="仿宋" w:cs="仿宋"/>
                <w:kern w:val="0"/>
                <w:sz w:val="24"/>
                <w:lang w:bidi="ar"/>
              </w:rPr>
              <w:t>1</w:t>
            </w:r>
            <w:r>
              <w:rPr>
                <w:rFonts w:hint="eastAsia" w:ascii="仿宋" w:hAnsi="仿宋" w:eastAsia="仿宋" w:cs="仿宋"/>
                <w:kern w:val="0"/>
                <w:sz w:val="24"/>
                <w:lang w:eastAsia="zh-CN" w:bidi="ar"/>
              </w:rPr>
              <w:t>、</w:t>
            </w:r>
            <w:r>
              <w:rPr>
                <w:rFonts w:hint="eastAsia" w:ascii="仿宋" w:hAnsi="仿宋" w:eastAsia="仿宋" w:cs="仿宋"/>
                <w:kern w:val="0"/>
                <w:sz w:val="24"/>
                <w:lang w:bidi="ar"/>
              </w:rPr>
              <w:t>项目委托</w:t>
            </w:r>
          </w:p>
        </w:tc>
        <w:tc>
          <w:tcPr>
            <w:tcW w:w="2890" w:type="pct"/>
            <w:vAlign w:val="center"/>
          </w:tcPr>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sz w:val="24"/>
              </w:rPr>
              <w:t>1、</w:t>
            </w:r>
            <w:r>
              <w:rPr>
                <w:rFonts w:hint="eastAsia" w:ascii="仿宋" w:hAnsi="仿宋" w:eastAsia="仿宋" w:cs="仿宋"/>
                <w:bCs/>
                <w:sz w:val="24"/>
                <w:lang w:val="en"/>
              </w:rPr>
              <w:t>首次进行网上交易的</w:t>
            </w:r>
            <w:r>
              <w:rPr>
                <w:rFonts w:hint="eastAsia" w:ascii="仿宋" w:hAnsi="仿宋" w:eastAsia="仿宋" w:cs="仿宋"/>
                <w:spacing w:val="7"/>
                <w:sz w:val="24"/>
              </w:rPr>
              <w:t>委托人</w:t>
            </w:r>
            <w:r>
              <w:rPr>
                <w:rFonts w:hint="eastAsia" w:ascii="仿宋" w:hAnsi="仿宋" w:eastAsia="仿宋" w:cs="仿宋"/>
                <w:bCs/>
                <w:sz w:val="24"/>
                <w:lang w:val="en"/>
              </w:rPr>
              <w:t>须办理CA数字证书（须含电子印章），并登录湖南省（或市、州）公共资源交易服务平台进行注册并选择矿业权出让</w:t>
            </w:r>
            <w:r>
              <w:rPr>
                <w:rFonts w:hint="eastAsia" w:ascii="仿宋" w:hAnsi="仿宋" w:eastAsia="仿宋" w:cs="仿宋"/>
                <w:bCs/>
                <w:sz w:val="24"/>
              </w:rPr>
              <w:t>/转让人主体类型，</w:t>
            </w:r>
            <w:r>
              <w:rPr>
                <w:rFonts w:hint="eastAsia" w:ascii="仿宋" w:hAnsi="仿宋" w:eastAsia="仿宋" w:cs="仿宋"/>
                <w:bCs/>
                <w:sz w:val="24"/>
                <w:lang w:val="en"/>
              </w:rPr>
              <w:t>绑定（激活）数字证书。</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rPr>
              <w:t>2、</w:t>
            </w:r>
            <w:r>
              <w:rPr>
                <w:rFonts w:hint="eastAsia" w:ascii="仿宋" w:hAnsi="仿宋" w:eastAsia="仿宋" w:cs="仿宋"/>
                <w:bCs/>
                <w:sz w:val="24"/>
                <w:lang w:val="en"/>
              </w:rPr>
              <w:t>凭CA数字证书或用户名登录湖南省（在市州行政区域内交易的，登录相应市州公共资源交易中心系统；跨市州交易的，登录省公共资源交易中心系统</w:t>
            </w:r>
            <w:r>
              <w:rPr>
                <w:rFonts w:ascii="仿宋" w:hAnsi="仿宋" w:eastAsia="仿宋" w:cs="仿宋"/>
                <w:bCs/>
                <w:sz w:val="24"/>
                <w:lang w:val="en"/>
              </w:rPr>
              <w:t>）</w:t>
            </w:r>
            <w:r>
              <w:rPr>
                <w:rFonts w:hint="eastAsia" w:ascii="仿宋" w:hAnsi="仿宋" w:eastAsia="仿宋" w:cs="仿宋"/>
                <w:bCs/>
                <w:sz w:val="24"/>
                <w:lang w:val="en"/>
              </w:rPr>
              <w:t>公共资源交易中心系统</w:t>
            </w:r>
            <w:r>
              <w:rPr>
                <w:rFonts w:hint="eastAsia" w:ascii="仿宋" w:hAnsi="仿宋" w:eastAsia="仿宋" w:cs="仿宋"/>
                <w:bCs/>
                <w:sz w:val="24"/>
              </w:rPr>
              <w:t>发起矿权出让流程，</w:t>
            </w:r>
            <w:r>
              <w:rPr>
                <w:rFonts w:hint="eastAsia" w:ascii="仿宋" w:hAnsi="仿宋" w:eastAsia="仿宋" w:cs="仿宋"/>
                <w:bCs/>
                <w:sz w:val="24"/>
                <w:lang w:val="en"/>
              </w:rPr>
              <w:t>按下述要求提交相关材料：</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fldChar w:fldCharType="begin"/>
            </w:r>
            <w:r>
              <w:rPr>
                <w:rFonts w:hint="eastAsia" w:ascii="仿宋" w:hAnsi="仿宋" w:eastAsia="仿宋" w:cs="仿宋"/>
                <w:bCs/>
                <w:sz w:val="24"/>
                <w:lang w:val="en"/>
              </w:rPr>
              <w:instrText xml:space="preserve"> = 1 \* GB3 </w:instrText>
            </w:r>
            <w:r>
              <w:rPr>
                <w:rFonts w:hint="eastAsia" w:ascii="仿宋" w:hAnsi="仿宋" w:eastAsia="仿宋" w:cs="仿宋"/>
                <w:bCs/>
                <w:sz w:val="24"/>
                <w:lang w:val="en"/>
              </w:rPr>
              <w:fldChar w:fldCharType="separate"/>
            </w:r>
            <w:r>
              <w:rPr>
                <w:rFonts w:hint="eastAsia" w:ascii="仿宋" w:hAnsi="仿宋" w:eastAsia="仿宋" w:cs="仿宋"/>
                <w:bCs/>
                <w:sz w:val="24"/>
                <w:lang w:val="en"/>
              </w:rPr>
              <w:t>①</w:t>
            </w:r>
            <w:r>
              <w:rPr>
                <w:rFonts w:hint="eastAsia" w:ascii="仿宋" w:hAnsi="仿宋" w:eastAsia="仿宋" w:cs="仿宋"/>
                <w:bCs/>
                <w:sz w:val="24"/>
                <w:lang w:val="en"/>
              </w:rPr>
              <w:fldChar w:fldCharType="end"/>
            </w:r>
            <w:r>
              <w:rPr>
                <w:rFonts w:hint="eastAsia" w:ascii="仿宋" w:hAnsi="仿宋" w:eastAsia="仿宋" w:cs="仿宋"/>
                <w:bCs/>
                <w:sz w:val="24"/>
                <w:lang w:val="en"/>
              </w:rPr>
              <w:t>委托函；</w:t>
            </w:r>
          </w:p>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sz w:val="24"/>
                <w:lang w:val="en"/>
              </w:rPr>
              <w:fldChar w:fldCharType="begin"/>
            </w:r>
            <w:r>
              <w:rPr>
                <w:rFonts w:hint="eastAsia" w:ascii="仿宋" w:hAnsi="仿宋" w:eastAsia="仿宋" w:cs="仿宋"/>
                <w:bCs/>
                <w:sz w:val="24"/>
                <w:lang w:val="en"/>
              </w:rPr>
              <w:instrText xml:space="preserve"> = 2 \* GB3 \* MERGEFORMAT </w:instrText>
            </w:r>
            <w:r>
              <w:rPr>
                <w:rFonts w:hint="eastAsia" w:ascii="仿宋" w:hAnsi="仿宋" w:eastAsia="仿宋" w:cs="仿宋"/>
                <w:bCs/>
                <w:sz w:val="24"/>
                <w:lang w:val="en"/>
              </w:rPr>
              <w:fldChar w:fldCharType="separate"/>
            </w:r>
            <w:r>
              <w:rPr>
                <w:rFonts w:hint="eastAsia" w:ascii="仿宋" w:hAnsi="仿宋" w:eastAsia="仿宋" w:cs="仿宋"/>
                <w:bCs/>
                <w:sz w:val="24"/>
                <w:lang w:val="en"/>
              </w:rPr>
              <w:t>②</w:t>
            </w:r>
            <w:r>
              <w:rPr>
                <w:rFonts w:hint="eastAsia" w:ascii="仿宋" w:hAnsi="仿宋" w:eastAsia="仿宋" w:cs="仿宋"/>
                <w:bCs/>
                <w:sz w:val="24"/>
                <w:lang w:val="en"/>
              </w:rPr>
              <w:fldChar w:fldCharType="end"/>
            </w:r>
            <w:r>
              <w:rPr>
                <w:rFonts w:hint="eastAsia" w:ascii="仿宋" w:hAnsi="仿宋" w:eastAsia="仿宋" w:cs="仿宋"/>
                <w:bCs/>
                <w:sz w:val="24"/>
                <w:lang w:val="en"/>
              </w:rPr>
              <w:t>采矿权出让资料[地勘成果报告（包括详查或普查报告、资源储量核实报告）、开发利用方案、采矿权价款评估报告、采矿权出让方案，以及上述资料的评审意见书、备案证明]。</w:t>
            </w:r>
          </w:p>
        </w:tc>
        <w:tc>
          <w:tcPr>
            <w:tcW w:w="700" w:type="pct"/>
            <w:vAlign w:val="center"/>
          </w:tcPr>
          <w:p>
            <w:pPr>
              <w:widowControl/>
              <w:snapToGrid w:val="0"/>
              <w:spacing w:line="200" w:lineRule="atLeast"/>
              <w:jc w:val="center"/>
              <w:textAlignment w:val="center"/>
              <w:rPr>
                <w:rFonts w:ascii="仿宋" w:hAnsi="仿宋" w:eastAsia="仿宋" w:cs="仿宋"/>
                <w:spacing w:val="7"/>
                <w:sz w:val="24"/>
              </w:rPr>
            </w:pPr>
            <w:r>
              <w:rPr>
                <w:rFonts w:hint="eastAsia" w:ascii="仿宋" w:hAnsi="仿宋" w:eastAsia="仿宋" w:cs="仿宋"/>
                <w:spacing w:val="7"/>
                <w:sz w:val="24"/>
              </w:rPr>
              <w:t>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0" w:hRule="atLeast"/>
          <w:jc w:val="center"/>
        </w:trPr>
        <w:tc>
          <w:tcPr>
            <w:tcW w:w="267" w:type="pct"/>
            <w:vMerge w:val="continue"/>
            <w:vAlign w:val="center"/>
          </w:tcPr>
          <w:p>
            <w:pPr>
              <w:ind w:firstLine="240" w:firstLineChars="100"/>
              <w:rPr>
                <w:rFonts w:ascii="仿宋" w:hAnsi="仿宋" w:eastAsia="仿宋" w:cs="仿宋"/>
                <w:sz w:val="24"/>
              </w:rPr>
            </w:pPr>
          </w:p>
        </w:tc>
        <w:tc>
          <w:tcPr>
            <w:tcW w:w="200" w:type="pct"/>
            <w:vMerge w:val="continue"/>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p>
        </w:tc>
        <w:tc>
          <w:tcPr>
            <w:tcW w:w="435" w:type="pct"/>
            <w:vMerge w:val="continue"/>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p>
        </w:tc>
        <w:tc>
          <w:tcPr>
            <w:tcW w:w="506" w:type="pct"/>
            <w:vAlign w:val="center"/>
          </w:tcPr>
          <w:p>
            <w:pPr>
              <w:widowControl/>
              <w:snapToGrid w:val="0"/>
              <w:spacing w:line="200" w:lineRule="atLeast"/>
              <w:textAlignment w:val="center"/>
              <w:rPr>
                <w:rFonts w:hint="eastAsia" w:ascii="仿宋" w:hAnsi="仿宋" w:eastAsia="仿宋" w:cs="仿宋"/>
                <w:kern w:val="0"/>
                <w:sz w:val="24"/>
                <w:lang w:val="en" w:eastAsia="zh-CN" w:bidi="ar"/>
              </w:rPr>
            </w:pPr>
            <w:r>
              <w:rPr>
                <w:rFonts w:ascii="仿宋" w:hAnsi="仿宋" w:eastAsia="仿宋" w:cs="仿宋"/>
                <w:kern w:val="0"/>
                <w:sz w:val="24"/>
                <w:lang w:val="en" w:bidi="ar"/>
              </w:rPr>
              <w:t>2</w:t>
            </w:r>
            <w:r>
              <w:rPr>
                <w:rFonts w:hint="eastAsia" w:ascii="仿宋" w:hAnsi="仿宋" w:eastAsia="仿宋" w:cs="仿宋"/>
                <w:kern w:val="0"/>
                <w:sz w:val="24"/>
                <w:lang w:val="en" w:eastAsia="zh-CN" w:bidi="ar"/>
              </w:rPr>
              <w:t>、受理报批</w:t>
            </w:r>
          </w:p>
        </w:tc>
        <w:tc>
          <w:tcPr>
            <w:tcW w:w="2890" w:type="pct"/>
            <w:vAlign w:val="center"/>
          </w:tcPr>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1、交易中心在收到交易委托2个工作日内完成信息核对，对符合交易资料齐全条件予以受理；</w:t>
            </w:r>
          </w:p>
          <w:p>
            <w:pPr>
              <w:widowControl/>
              <w:snapToGrid w:val="0"/>
              <w:spacing w:line="200" w:lineRule="atLeast"/>
              <w:textAlignment w:val="center"/>
              <w:rPr>
                <w:rFonts w:hint="eastAsia" w:eastAsia="仿宋"/>
                <w:lang w:val="en-US" w:eastAsia="zh-CN"/>
              </w:rPr>
            </w:pPr>
            <w:r>
              <w:rPr>
                <w:rFonts w:hint="eastAsia" w:ascii="仿宋" w:hAnsi="仿宋" w:eastAsia="仿宋" w:cs="仿宋"/>
                <w:bCs/>
                <w:sz w:val="24"/>
                <w:lang w:val="en"/>
              </w:rPr>
              <w:t>2、对不符合条件的交易委托退回至委托人重新填写。</w:t>
            </w:r>
          </w:p>
        </w:tc>
        <w:tc>
          <w:tcPr>
            <w:tcW w:w="700" w:type="pct"/>
            <w:vMerge w:val="restart"/>
            <w:vAlign w:val="center"/>
          </w:tcPr>
          <w:p>
            <w:pPr>
              <w:widowControl/>
              <w:snapToGrid w:val="0"/>
              <w:spacing w:line="200" w:lineRule="atLeast"/>
              <w:jc w:val="center"/>
              <w:textAlignment w:val="center"/>
              <w:rPr>
                <w:rFonts w:ascii="仿宋" w:hAnsi="仿宋" w:eastAsia="仿宋" w:cs="仿宋"/>
                <w:spacing w:val="7"/>
                <w:sz w:val="24"/>
              </w:rPr>
            </w:pPr>
            <w:r>
              <w:rPr>
                <w:rFonts w:hint="eastAsia" w:ascii="仿宋" w:hAnsi="仿宋" w:eastAsia="仿宋" w:cs="仿宋"/>
                <w:spacing w:val="7"/>
                <w:sz w:val="24"/>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34" w:hRule="atLeast"/>
          <w:jc w:val="center"/>
        </w:trPr>
        <w:tc>
          <w:tcPr>
            <w:tcW w:w="267" w:type="pct"/>
            <w:vMerge w:val="continue"/>
            <w:vAlign w:val="center"/>
          </w:tcPr>
          <w:p>
            <w:pPr>
              <w:ind w:firstLine="240" w:firstLineChars="100"/>
              <w:rPr>
                <w:rFonts w:ascii="仿宋" w:hAnsi="仿宋" w:eastAsia="仿宋" w:cs="仿宋"/>
                <w:sz w:val="24"/>
              </w:rPr>
            </w:pPr>
          </w:p>
        </w:tc>
        <w:tc>
          <w:tcPr>
            <w:tcW w:w="200" w:type="pct"/>
            <w:vMerge w:val="continue"/>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p>
        </w:tc>
        <w:tc>
          <w:tcPr>
            <w:tcW w:w="435" w:type="pct"/>
            <w:vMerge w:val="continue"/>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p>
        </w:tc>
        <w:tc>
          <w:tcPr>
            <w:tcW w:w="506" w:type="pct"/>
            <w:vAlign w:val="center"/>
          </w:tcPr>
          <w:p>
            <w:pPr>
              <w:widowControl/>
              <w:snapToGrid w:val="0"/>
              <w:spacing w:line="200" w:lineRule="atLeast"/>
              <w:textAlignment w:val="center"/>
              <w:rPr>
                <w:rFonts w:ascii="仿宋" w:hAnsi="仿宋" w:eastAsia="仿宋" w:cs="仿宋"/>
                <w:kern w:val="0"/>
                <w:sz w:val="24"/>
                <w:lang w:val="en" w:bidi="ar"/>
              </w:rPr>
            </w:pPr>
            <w:r>
              <w:rPr>
                <w:rFonts w:hint="eastAsia" w:ascii="仿宋" w:hAnsi="仿宋" w:eastAsia="仿宋" w:cs="仿宋"/>
                <w:kern w:val="0"/>
                <w:sz w:val="24"/>
                <w:lang w:bidi="ar"/>
              </w:rPr>
              <w:t>3、编辑、</w:t>
            </w:r>
            <w:r>
              <w:rPr>
                <w:rFonts w:hint="eastAsia" w:ascii="仿宋" w:hAnsi="仿宋" w:eastAsia="仿宋" w:cs="仿宋"/>
                <w:kern w:val="0"/>
                <w:sz w:val="24"/>
                <w:lang w:val="en" w:bidi="ar"/>
              </w:rPr>
              <w:t>发布公告</w:t>
            </w:r>
          </w:p>
        </w:tc>
        <w:tc>
          <w:tcPr>
            <w:tcW w:w="2890" w:type="pct"/>
            <w:vAlign w:val="center"/>
          </w:tcPr>
          <w:p>
            <w:pPr>
              <w:snapToGrid w:val="0"/>
              <w:spacing w:line="200" w:lineRule="atLeas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
                <w14:textFill>
                  <w14:solidFill>
                    <w14:schemeClr w14:val="tx1"/>
                  </w14:solidFill>
                </w14:textFill>
              </w:rPr>
              <w:t>1、</w:t>
            </w:r>
            <w:r>
              <w:rPr>
                <w:rFonts w:hint="eastAsia" w:ascii="仿宋" w:hAnsi="仿宋" w:eastAsia="仿宋" w:cs="仿宋"/>
                <w:bCs/>
                <w:color w:val="000000" w:themeColor="text1"/>
                <w:sz w:val="24"/>
                <w:lang w:val="en" w:eastAsia="zh-CN"/>
                <w14:textFill>
                  <w14:solidFill>
                    <w14:schemeClr w14:val="tx1"/>
                  </w14:solidFill>
                </w14:textFill>
              </w:rPr>
              <w:t>经办人</w:t>
            </w:r>
            <w:r>
              <w:rPr>
                <w:rFonts w:hint="eastAsia" w:ascii="仿宋" w:hAnsi="仿宋" w:eastAsia="仿宋" w:cs="仿宋"/>
                <w:bCs/>
                <w:color w:val="000000" w:themeColor="text1"/>
                <w:sz w:val="24"/>
                <w14:textFill>
                  <w14:solidFill>
                    <w14:schemeClr w14:val="tx1"/>
                  </w14:solidFill>
                </w14:textFill>
              </w:rPr>
              <w:t>根据</w:t>
            </w:r>
            <w:r>
              <w:rPr>
                <w:rFonts w:hint="eastAsia" w:ascii="仿宋" w:hAnsi="仿宋" w:eastAsia="仿宋" w:cs="仿宋"/>
                <w:bCs/>
                <w:color w:val="000000" w:themeColor="text1"/>
                <w:sz w:val="24"/>
                <w:lang w:eastAsia="zh-CN"/>
                <w14:textFill>
                  <w14:solidFill>
                    <w14:schemeClr w14:val="tx1"/>
                  </w14:solidFill>
                </w14:textFill>
              </w:rPr>
              <w:t>委托人提供的材料</w:t>
            </w:r>
            <w:r>
              <w:rPr>
                <w:rFonts w:hint="eastAsia" w:ascii="仿宋" w:hAnsi="仿宋" w:eastAsia="仿宋" w:cs="仿宋"/>
                <w:bCs/>
                <w:color w:val="000000" w:themeColor="text1"/>
                <w:sz w:val="24"/>
                <w14:textFill>
                  <w14:solidFill>
                    <w14:schemeClr w14:val="tx1"/>
                  </w14:solidFill>
                </w14:textFill>
              </w:rPr>
              <w:t>编辑交易公告，设置</w:t>
            </w:r>
            <w:r>
              <w:rPr>
                <w:rFonts w:hint="eastAsia" w:ascii="仿宋" w:hAnsi="仿宋" w:eastAsia="仿宋" w:cs="仿宋"/>
                <w:bCs/>
                <w:color w:val="000000" w:themeColor="text1"/>
                <w:sz w:val="24"/>
                <w:lang w:eastAsia="zh-CN"/>
                <w14:textFill>
                  <w14:solidFill>
                    <w14:schemeClr w14:val="tx1"/>
                  </w14:solidFill>
                </w14:textFill>
              </w:rPr>
              <w:t>交易公告</w:t>
            </w:r>
            <w:r>
              <w:rPr>
                <w:rFonts w:hint="eastAsia" w:ascii="仿宋" w:hAnsi="仿宋" w:eastAsia="仿宋" w:cs="仿宋"/>
                <w:bCs/>
                <w:color w:val="000000" w:themeColor="text1"/>
                <w:sz w:val="24"/>
                <w14:textFill>
                  <w14:solidFill>
                    <w14:schemeClr w14:val="tx1"/>
                  </w14:solidFill>
                </w14:textFill>
              </w:rPr>
              <w:t>开始与截止时间</w:t>
            </w:r>
            <w:r>
              <w:rPr>
                <w:rFonts w:hint="eastAsia" w:ascii="仿宋" w:hAnsi="仿宋" w:eastAsia="仿宋" w:cs="仿宋"/>
                <w:bCs/>
                <w:color w:val="000000" w:themeColor="text1"/>
                <w:sz w:val="24"/>
                <w:lang w:eastAsia="zh-CN"/>
                <w14:textFill>
                  <w14:solidFill>
                    <w14:schemeClr w14:val="tx1"/>
                  </w14:solidFill>
                </w14:textFill>
              </w:rPr>
              <w:t>、资格审查时间、</w:t>
            </w:r>
            <w:r>
              <w:rPr>
                <w:rFonts w:hint="eastAsia" w:ascii="仿宋" w:hAnsi="仿宋" w:eastAsia="仿宋" w:cs="仿宋"/>
                <w:bCs/>
                <w:color w:val="000000" w:themeColor="text1"/>
                <w:sz w:val="24"/>
                <w14:textFill>
                  <w14:solidFill>
                    <w14:schemeClr w14:val="tx1"/>
                  </w14:solidFill>
                </w14:textFill>
              </w:rPr>
              <w:t>挂牌开始与截止时间；</w:t>
            </w:r>
          </w:p>
          <w:p>
            <w:pPr>
              <w:widowControl/>
              <w:snapToGrid w:val="0"/>
              <w:spacing w:line="200" w:lineRule="atLeast"/>
              <w:textAlignment w:val="center"/>
              <w:rPr>
                <w:rFonts w:ascii="仿宋" w:hAnsi="仿宋" w:eastAsia="仿宋" w:cs="仿宋"/>
                <w:bCs/>
                <w:sz w:val="24"/>
              </w:rPr>
            </w:pPr>
            <w:r>
              <w:rPr>
                <w:rFonts w:hint="eastAsia" w:ascii="仿宋" w:hAnsi="仿宋" w:eastAsia="仿宋" w:cs="仿宋"/>
                <w:bCs/>
                <w:color w:val="000000" w:themeColor="text1"/>
                <w:sz w:val="24"/>
                <w14:textFill>
                  <w14:solidFill>
                    <w14:schemeClr w14:val="tx1"/>
                  </w14:solidFill>
                </w14:textFill>
              </w:rPr>
              <w:t>2、自项目受理后</w:t>
            </w:r>
            <w:r>
              <w:rPr>
                <w:rFonts w:hint="eastAsia" w:ascii="仿宋" w:hAnsi="仿宋" w:eastAsia="仿宋" w:cs="仿宋"/>
                <w:bCs/>
                <w:color w:val="000000" w:themeColor="text1"/>
                <w:sz w:val="24"/>
                <w:lang w:val="en"/>
                <w14:textFill>
                  <w14:solidFill>
                    <w14:schemeClr w14:val="tx1"/>
                  </w14:solidFill>
                </w14:textFill>
              </w:rPr>
              <w:t>起</w:t>
            </w:r>
            <w:r>
              <w:rPr>
                <w:rFonts w:hint="eastAsia" w:ascii="仿宋" w:hAnsi="仿宋" w:eastAsia="仿宋" w:cs="仿宋"/>
                <w:bCs/>
                <w:color w:val="000000" w:themeColor="text1"/>
                <w:sz w:val="24"/>
                <w:lang w:val="en-US" w:eastAsia="zh-CN"/>
                <w14:textFill>
                  <w14:solidFill>
                    <w14:schemeClr w14:val="tx1"/>
                  </w14:solidFill>
                </w14:textFill>
              </w:rPr>
              <w:t>10</w:t>
            </w:r>
            <w:r>
              <w:rPr>
                <w:rFonts w:hint="eastAsia" w:ascii="仿宋" w:hAnsi="仿宋" w:eastAsia="仿宋" w:cs="仿宋"/>
                <w:bCs/>
                <w:color w:val="000000" w:themeColor="text1"/>
                <w:sz w:val="24"/>
                <w:lang w:val="en"/>
                <w14:textFill>
                  <w14:solidFill>
                    <w14:schemeClr w14:val="tx1"/>
                  </w14:solidFill>
                </w14:textFill>
              </w:rPr>
              <w:t>个工作日内，</w:t>
            </w:r>
            <w:r>
              <w:rPr>
                <w:rFonts w:hint="eastAsia" w:ascii="仿宋" w:hAnsi="仿宋" w:eastAsia="仿宋" w:cs="仿宋"/>
                <w:bCs/>
                <w:color w:val="000000" w:themeColor="text1"/>
                <w:sz w:val="24"/>
                <w:lang w:eastAsia="zh-CN"/>
                <w14:textFill>
                  <w14:solidFill>
                    <w14:schemeClr w14:val="tx1"/>
                  </w14:solidFill>
                </w14:textFill>
              </w:rPr>
              <w:t>在自然资源部、省自然资源厅、</w:t>
            </w:r>
            <w:r>
              <w:rPr>
                <w:rFonts w:hint="eastAsia" w:ascii="仿宋" w:hAnsi="仿宋" w:eastAsia="仿宋" w:cs="仿宋"/>
                <w:bCs/>
                <w:color w:val="000000" w:themeColor="text1"/>
                <w:sz w:val="24"/>
                <w14:textFill>
                  <w14:solidFill>
                    <w14:schemeClr w14:val="tx1"/>
                  </w14:solidFill>
                </w14:textFill>
              </w:rPr>
              <w:t>湖南省公共资源交易服务平台发布交易公告。</w:t>
            </w:r>
          </w:p>
        </w:tc>
        <w:tc>
          <w:tcPr>
            <w:tcW w:w="700" w:type="pct"/>
            <w:vMerge w:val="continue"/>
            <w:vAlign w:val="center"/>
          </w:tcPr>
          <w:p>
            <w:pPr>
              <w:widowControl/>
              <w:snapToGrid w:val="0"/>
              <w:spacing w:line="200" w:lineRule="atLeast"/>
              <w:jc w:val="center"/>
              <w:textAlignment w:val="center"/>
              <w:rPr>
                <w:rFonts w:ascii="仿宋" w:hAnsi="仿宋" w:eastAsia="仿宋" w:cs="仿宋"/>
                <w:spacing w:val="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 w:hRule="atLeast"/>
          <w:jc w:val="center"/>
        </w:trPr>
        <w:tc>
          <w:tcPr>
            <w:tcW w:w="267" w:type="pct"/>
            <w:vMerge w:val="continue"/>
            <w:vAlign w:val="center"/>
          </w:tcPr>
          <w:p>
            <w:pPr>
              <w:ind w:firstLine="240" w:firstLineChars="100"/>
              <w:rPr>
                <w:rFonts w:ascii="仿宋" w:hAnsi="仿宋" w:eastAsia="仿宋" w:cs="仿宋"/>
                <w:sz w:val="24"/>
              </w:rPr>
            </w:pPr>
          </w:p>
        </w:tc>
        <w:tc>
          <w:tcPr>
            <w:tcW w:w="200" w:type="pct"/>
            <w:vMerge w:val="restart"/>
            <w:vAlign w:val="center"/>
          </w:tcPr>
          <w:p>
            <w:pPr>
              <w:widowControl/>
              <w:tabs>
                <w:tab w:val="left" w:pos="1707"/>
              </w:tabs>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二</w:t>
            </w:r>
          </w:p>
        </w:tc>
        <w:tc>
          <w:tcPr>
            <w:tcW w:w="435" w:type="pct"/>
            <w:vMerge w:val="restart"/>
            <w:vAlign w:val="center"/>
          </w:tcPr>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center"/>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both"/>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both"/>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both"/>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both"/>
              <w:textAlignment w:val="center"/>
              <w:rPr>
                <w:rFonts w:hint="eastAsia" w:ascii="仿宋" w:hAnsi="仿宋" w:eastAsia="仿宋" w:cs="仿宋"/>
                <w:strike w:val="0"/>
                <w:dstrike w:val="0"/>
                <w:color w:val="000000" w:themeColor="text1"/>
                <w:kern w:val="0"/>
                <w:sz w:val="24"/>
                <w:lang w:bidi="ar"/>
                <w14:textFill>
                  <w14:solidFill>
                    <w14:schemeClr w14:val="tx1"/>
                  </w14:solidFill>
                </w14:textFill>
              </w:rPr>
            </w:pPr>
          </w:p>
          <w:p>
            <w:pPr>
              <w:widowControl/>
              <w:tabs>
                <w:tab w:val="left" w:pos="1707"/>
              </w:tabs>
              <w:snapToGrid w:val="0"/>
              <w:spacing w:line="200" w:lineRule="atLeast"/>
              <w:jc w:val="both"/>
              <w:textAlignment w:val="center"/>
              <w:rPr>
                <w:rFonts w:hint="eastAsia" w:ascii="仿宋" w:hAnsi="仿宋" w:eastAsia="仿宋" w:cs="仿宋"/>
                <w:color w:val="000000" w:themeColor="text1"/>
                <w:kern w:val="0"/>
                <w:sz w:val="24"/>
                <w:lang w:eastAsia="zh-CN" w:bidi="ar"/>
                <w14:textFill>
                  <w14:solidFill>
                    <w14:schemeClr w14:val="tx1"/>
                  </w14:solidFill>
                </w14:textFill>
              </w:rPr>
            </w:pPr>
            <w:r>
              <w:rPr>
                <w:rFonts w:hint="eastAsia" w:ascii="仿宋" w:hAnsi="仿宋" w:eastAsia="仿宋" w:cs="仿宋"/>
                <w:strike w:val="0"/>
                <w:dstrike w:val="0"/>
                <w:color w:val="000000" w:themeColor="text1"/>
                <w:kern w:val="0"/>
                <w:sz w:val="24"/>
                <w:lang w:bidi="ar"/>
                <w14:textFill>
                  <w14:solidFill>
                    <w14:schemeClr w14:val="tx1"/>
                  </w14:solidFill>
                </w14:textFill>
              </w:rPr>
              <w:t>竞价</w:t>
            </w:r>
            <w:r>
              <w:rPr>
                <w:rFonts w:hint="eastAsia" w:ascii="仿宋" w:hAnsi="仿宋" w:eastAsia="仿宋" w:cs="仿宋"/>
                <w:strike w:val="0"/>
                <w:dstrike w:val="0"/>
                <w:color w:val="000000" w:themeColor="text1"/>
                <w:kern w:val="0"/>
                <w:sz w:val="24"/>
                <w:lang w:eastAsia="zh-CN" w:bidi="ar"/>
                <w14:textFill>
                  <w14:solidFill>
                    <w14:schemeClr w14:val="tx1"/>
                  </w14:solidFill>
                </w14:textFill>
              </w:rPr>
              <w:t>申请</w:t>
            </w:r>
          </w:p>
        </w:tc>
        <w:tc>
          <w:tcPr>
            <w:tcW w:w="506" w:type="pct"/>
            <w:vAlign w:val="center"/>
          </w:tcPr>
          <w:p>
            <w:pPr>
              <w:widowControl/>
              <w:snapToGrid w:val="0"/>
              <w:spacing w:line="200" w:lineRule="atLeas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r>
              <w:rPr>
                <w:rFonts w:hint="eastAsia" w:ascii="仿宋" w:hAnsi="仿宋" w:eastAsia="仿宋" w:cs="仿宋"/>
                <w:color w:val="000000" w:themeColor="text1"/>
                <w:kern w:val="0"/>
                <w:sz w:val="24"/>
                <w:lang w:eastAsia="zh-CN" w:bidi="ar"/>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竞买申请</w:t>
            </w:r>
          </w:p>
        </w:tc>
        <w:tc>
          <w:tcPr>
            <w:tcW w:w="2890" w:type="pct"/>
            <w:vAlign w:val="center"/>
          </w:tcPr>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sz w:val="24"/>
                <w:lang w:val="en"/>
              </w:rPr>
              <w:t>1、首次进行网上交易的</w:t>
            </w:r>
            <w:r>
              <w:rPr>
                <w:rFonts w:hint="eastAsia" w:ascii="仿宋" w:hAnsi="仿宋" w:eastAsia="仿宋" w:cs="仿宋"/>
                <w:spacing w:val="7"/>
                <w:sz w:val="24"/>
              </w:rPr>
              <w:t>竞买人</w:t>
            </w:r>
            <w:r>
              <w:rPr>
                <w:rFonts w:hint="eastAsia" w:ascii="仿宋" w:hAnsi="仿宋" w:eastAsia="仿宋" w:cs="仿宋"/>
                <w:bCs/>
                <w:sz w:val="24"/>
                <w:lang w:val="en"/>
              </w:rPr>
              <w:t>须办理CA数字证书（须含电子印章），并登录湖南省公共资源交易服务平台进行注册，绑定（激活）数字证书；</w:t>
            </w:r>
          </w:p>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sz w:val="24"/>
              </w:rPr>
              <w:t>2.</w:t>
            </w:r>
            <w:r>
              <w:rPr>
                <w:rFonts w:hint="eastAsia" w:ascii="仿宋" w:hAnsi="仿宋" w:eastAsia="仿宋" w:cs="仿宋"/>
                <w:bCs/>
                <w:sz w:val="24"/>
                <w:lang w:val="en"/>
              </w:rPr>
              <w:t>凭CA数字证书或用户名登录省公共资源交易中心系统进行竞买申请，按下述要求提交相关资质证明材料：</w:t>
            </w:r>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 xml:space="preserve">（一）未纳入失信企业名单(含法定代表人）出具中国人民银行信用证明； </w:t>
            </w:r>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 xml:space="preserve">（二）未纳入安全生产失信黑名单（含法定代表人）出具企业所在地应急部门的证明和我省公共资源交易领域黑名单（依据省中心联合惩戒名单确定）； </w:t>
            </w:r>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 xml:space="preserve">（三）竞得人的营业执照或事业单位法人登记证书扫描件； </w:t>
            </w:r>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（四）银行止付证明及协助竞买止付管理承诺函（附件1）；  </w:t>
            </w:r>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（五）竞买人承诺函（对挂牌人）（附件</w:t>
            </w: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lang w:val="en" w:eastAsia="zh-CN"/>
                <w14:textFill>
                  <w14:solidFill>
                    <w14:schemeClr w14:val="tx1"/>
                  </w14:solidFill>
                </w14:textFill>
              </w:rPr>
              <w:t xml:space="preserve">） ； </w:t>
            </w:r>
            <w:bookmarkStart w:id="0" w:name="_GoBack"/>
            <w:bookmarkEnd w:id="0"/>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（六）竞买人承诺函（对银行）（附件</w:t>
            </w: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lang w:val="en" w:eastAsia="zh-CN"/>
                <w14:textFill>
                  <w14:solidFill>
                    <w14:schemeClr w14:val="tx1"/>
                  </w14:solidFill>
                </w14:textFill>
              </w:rPr>
              <w:t xml:space="preserve">）； </w:t>
            </w:r>
          </w:p>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sz w:val="24"/>
                <w:lang w:val="en" w:eastAsia="zh-CN"/>
                <w14:textFill>
                  <w14:solidFill>
                    <w14:schemeClr w14:val="tx1"/>
                  </w14:solidFill>
                </w14:textFill>
              </w:rPr>
              <w:t xml:space="preserve">（七）竞买人授权委托书（附件4）； </w:t>
            </w:r>
          </w:p>
          <w:p>
            <w:pPr>
              <w:widowControl/>
              <w:snapToGrid w:val="0"/>
              <w:spacing w:line="200" w:lineRule="atLeast"/>
              <w:textAlignment w:val="center"/>
              <w:rPr>
                <w:rFonts w:ascii="仿宋" w:hAnsi="仿宋" w:eastAsia="仿宋" w:cs="仿宋"/>
                <w:bCs/>
                <w:sz w:val="24"/>
                <w:lang w:val="en"/>
              </w:rPr>
            </w:pPr>
            <w:r>
              <w:rPr>
                <w:rFonts w:hint="eastAsia" w:ascii="仿宋" w:hAnsi="仿宋" w:eastAsia="仿宋" w:cs="仿宋"/>
                <w:bCs/>
                <w:color w:val="000000" w:themeColor="text1"/>
                <w:sz w:val="24"/>
                <w:lang w:val="en" w:eastAsia="zh-CN"/>
                <w14:textFill>
                  <w14:solidFill>
                    <w14:schemeClr w14:val="tx1"/>
                  </w14:solidFill>
                </w14:textFill>
              </w:rPr>
              <w:t xml:space="preserve">（八）银行通过指定的邮箱传送竞买人在办理银行止付证明及协助竞买止付管理承诺函所需提供各项资料的扫描件以及办理止付证明的银行加盖其业务公章的银行业务系统页面截图。 </w:t>
            </w:r>
          </w:p>
        </w:tc>
        <w:tc>
          <w:tcPr>
            <w:tcW w:w="700" w:type="pct"/>
            <w:vAlign w:val="center"/>
          </w:tcPr>
          <w:p>
            <w:pPr>
              <w:widowControl/>
              <w:snapToGrid w:val="0"/>
              <w:spacing w:line="200" w:lineRule="atLeast"/>
              <w:jc w:val="center"/>
              <w:textAlignment w:val="center"/>
              <w:rPr>
                <w:rFonts w:ascii="仿宋" w:hAnsi="仿宋" w:eastAsia="仿宋" w:cs="仿宋"/>
                <w:spacing w:val="7"/>
                <w:sz w:val="24"/>
              </w:rPr>
            </w:pPr>
            <w:r>
              <w:rPr>
                <w:rFonts w:hint="eastAsia" w:ascii="仿宋" w:hAnsi="仿宋" w:eastAsia="仿宋" w:cs="仿宋"/>
                <w:spacing w:val="7"/>
                <w:sz w:val="24"/>
              </w:rPr>
              <w:t>竞买人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28" w:hRule="atLeast"/>
          <w:jc w:val="center"/>
        </w:trPr>
        <w:tc>
          <w:tcPr>
            <w:tcW w:w="267" w:type="pct"/>
            <w:vAlign w:val="center"/>
          </w:tcPr>
          <w:p>
            <w:pPr>
              <w:ind w:firstLine="240" w:firstLineChars="100"/>
              <w:rPr>
                <w:rFonts w:ascii="仿宋" w:hAnsi="仿宋" w:eastAsia="仿宋" w:cs="仿宋"/>
                <w:sz w:val="24"/>
              </w:rPr>
            </w:pPr>
          </w:p>
        </w:tc>
        <w:tc>
          <w:tcPr>
            <w:tcW w:w="200" w:type="pct"/>
            <w:vMerge w:val="continue"/>
            <w:vAlign w:val="center"/>
          </w:tcPr>
          <w:p>
            <w:pPr>
              <w:widowControl/>
              <w:tabs>
                <w:tab w:val="left" w:pos="1707"/>
              </w:tabs>
              <w:snapToGrid w:val="0"/>
              <w:spacing w:line="200" w:lineRule="atLeast"/>
              <w:jc w:val="center"/>
              <w:textAlignment w:val="center"/>
              <w:rPr>
                <w:rFonts w:hint="eastAsia" w:ascii="仿宋" w:hAnsi="仿宋" w:eastAsia="仿宋" w:cs="仿宋"/>
                <w:kern w:val="0"/>
                <w:sz w:val="24"/>
                <w:lang w:bidi="ar"/>
              </w:rPr>
            </w:pPr>
          </w:p>
        </w:tc>
        <w:tc>
          <w:tcPr>
            <w:tcW w:w="435" w:type="pct"/>
            <w:vMerge w:val="continue"/>
            <w:vAlign w:val="center"/>
          </w:tcPr>
          <w:p>
            <w:pPr>
              <w:widowControl/>
              <w:tabs>
                <w:tab w:val="left" w:pos="1707"/>
              </w:tabs>
              <w:snapToGrid w:val="0"/>
              <w:spacing w:line="200" w:lineRule="atLeast"/>
              <w:jc w:val="center"/>
              <w:textAlignment w:val="center"/>
              <w:rPr>
                <w:rFonts w:hint="eastAsia" w:ascii="仿宋" w:hAnsi="仿宋" w:eastAsia="仿宋" w:cs="仿宋"/>
                <w:kern w:val="0"/>
                <w:sz w:val="24"/>
                <w:lang w:bidi="ar"/>
              </w:rPr>
            </w:pPr>
          </w:p>
        </w:tc>
        <w:tc>
          <w:tcPr>
            <w:tcW w:w="506" w:type="pct"/>
            <w:vAlign w:val="center"/>
          </w:tcPr>
          <w:p>
            <w:pPr>
              <w:widowControl/>
              <w:snapToGrid w:val="0"/>
              <w:spacing w:line="200" w:lineRule="atLeast"/>
              <w:jc w:val="center"/>
              <w:textAlignment w:val="center"/>
              <w:rPr>
                <w:rFonts w:hint="eastAsia" w:ascii="仿宋" w:hAnsi="仿宋" w:eastAsia="仿宋" w:cs="仿宋"/>
                <w:color w:val="000000" w:themeColor="text1"/>
                <w:kern w:val="0"/>
                <w:sz w:val="24"/>
                <w:lang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2、</w:t>
            </w:r>
            <w:r>
              <w:rPr>
                <w:rFonts w:hint="eastAsia" w:ascii="仿宋" w:hAnsi="仿宋" w:eastAsia="仿宋" w:cs="仿宋"/>
                <w:color w:val="000000" w:themeColor="text1"/>
                <w:kern w:val="0"/>
                <w:sz w:val="24"/>
                <w:lang w:eastAsia="zh-CN" w:bidi="ar"/>
                <w14:textFill>
                  <w14:solidFill>
                    <w14:schemeClr w14:val="tx1"/>
                  </w14:solidFill>
                </w14:textFill>
              </w:rPr>
              <w:t>资格审查</w:t>
            </w:r>
          </w:p>
        </w:tc>
        <w:tc>
          <w:tcPr>
            <w:tcW w:w="2890" w:type="pct"/>
            <w:vAlign w:val="center"/>
          </w:tcPr>
          <w:p>
            <w:pPr>
              <w:widowControl/>
              <w:snapToGrid w:val="0"/>
              <w:spacing w:line="200" w:lineRule="atLeast"/>
              <w:textAlignment w:val="center"/>
              <w:rPr>
                <w:rFonts w:hint="eastAsia" w:ascii="仿宋" w:hAnsi="仿宋" w:eastAsia="仿宋" w:cs="仿宋"/>
                <w:bCs/>
                <w:color w:val="000000" w:themeColor="text1"/>
                <w:sz w:val="24"/>
                <w:lang w:val="en" w:eastAsia="zh-CN"/>
                <w14:textFill>
                  <w14:solidFill>
                    <w14:schemeClr w14:val="tx1"/>
                  </w14:solidFill>
                </w14:textFill>
              </w:rPr>
            </w:pPr>
            <w:r>
              <w:rPr>
                <w:rFonts w:hint="eastAsia" w:ascii="仿宋" w:hAnsi="仿宋" w:eastAsia="仿宋" w:cs="仿宋"/>
                <w:bCs/>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bCs/>
                <w:color w:val="000000" w:themeColor="text1"/>
                <w:kern w:val="2"/>
                <w:sz w:val="24"/>
                <w:szCs w:val="24"/>
                <w:lang w:val="en" w:eastAsia="zh-CN" w:bidi="ar-SA"/>
                <w14:textFill>
                  <w14:solidFill>
                    <w14:schemeClr w14:val="tx1"/>
                  </w14:solidFill>
                </w14:textFill>
              </w:rPr>
              <w:t>资</w:t>
            </w:r>
            <w:r>
              <w:rPr>
                <w:rFonts w:hint="eastAsia" w:ascii="仿宋" w:hAnsi="仿宋" w:eastAsia="仿宋" w:cs="仿宋"/>
                <w:bCs/>
                <w:color w:val="000000" w:themeColor="text1"/>
                <w:sz w:val="24"/>
                <w:lang w:val="en" w:eastAsia="zh-CN"/>
                <w14:textFill>
                  <w14:solidFill>
                    <w14:schemeClr w14:val="tx1"/>
                  </w14:solidFill>
                </w14:textFill>
              </w:rPr>
              <w:t xml:space="preserve">格审查上述应上传材料，采用实质性清单化审查。 </w:t>
            </w:r>
          </w:p>
          <w:p>
            <w:pPr>
              <w:widowControl/>
              <w:snapToGrid w:val="0"/>
              <w:spacing w:line="200" w:lineRule="atLeast"/>
              <w:textAlignment w:val="center"/>
              <w:rPr>
                <w:rFonts w:hint="eastAsia" w:ascii="仿宋" w:hAnsi="仿宋" w:eastAsia="仿宋" w:cs="仿宋"/>
                <w:bCs/>
                <w:color w:val="000000" w:themeColor="text1"/>
                <w:sz w:val="24"/>
                <w:lang w:val="e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lang w:val="en" w:eastAsia="zh-CN"/>
                <w14:textFill>
                  <w14:solidFill>
                    <w14:schemeClr w14:val="tx1"/>
                  </w14:solidFill>
                </w14:textFill>
              </w:rPr>
              <w:t>报名咨询实行一次性告知，资料递交实行一次性签收，签收前审查人员应就竞买人所递交的资料进行签收前审查，并提醒资料是否齐全以及资料签收的规定期限，同时告知资料一经签收后不能补交资料的规定。</w:t>
            </w:r>
          </w:p>
        </w:tc>
        <w:tc>
          <w:tcPr>
            <w:tcW w:w="700" w:type="pct"/>
            <w:vAlign w:val="center"/>
          </w:tcPr>
          <w:p>
            <w:pPr>
              <w:widowControl/>
              <w:snapToGrid w:val="0"/>
              <w:spacing w:line="200" w:lineRule="atLeast"/>
              <w:jc w:val="center"/>
              <w:textAlignment w:val="center"/>
              <w:rPr>
                <w:rFonts w:hint="eastAsia" w:ascii="仿宋" w:hAnsi="仿宋" w:eastAsia="仿宋" w:cs="仿宋"/>
                <w:spacing w:val="7"/>
                <w:sz w:val="24"/>
                <w:lang w:eastAsia="zh-CN"/>
              </w:rPr>
            </w:pPr>
            <w:r>
              <w:rPr>
                <w:rFonts w:hint="eastAsia" w:ascii="仿宋" w:hAnsi="仿宋" w:eastAsia="仿宋" w:cs="仿宋"/>
                <w:spacing w:val="7"/>
                <w:sz w:val="24"/>
                <w:lang w:eastAsia="zh-CN"/>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267" w:type="pct"/>
            <w:vAlign w:val="center"/>
          </w:tcPr>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p>
          <w:p>
            <w:pPr>
              <w:widowControl/>
              <w:snapToGrid w:val="0"/>
              <w:spacing w:line="200" w:lineRule="atLeast"/>
              <w:jc w:val="center"/>
              <w:textAlignment w:val="center"/>
              <w:rPr>
                <w:rFonts w:hint="eastAsia"/>
              </w:rPr>
            </w:pPr>
            <w:r>
              <w:rPr>
                <w:rFonts w:hint="eastAsia"/>
              </w:rPr>
              <w:t>挂牌中</w:t>
            </w:r>
          </w:p>
          <w:p>
            <w:pPr>
              <w:pStyle w:val="2"/>
              <w:rPr>
                <w:rFonts w:hint="eastAsia"/>
              </w:rPr>
            </w:pPr>
          </w:p>
          <w:p>
            <w:pPr>
              <w:rPr>
                <w:rFonts w:hint="eastAsia"/>
              </w:rPr>
            </w:pPr>
          </w:p>
          <w:p>
            <w:pPr>
              <w:pStyle w:val="2"/>
              <w:rPr>
                <w:rFonts w:hint="eastAsia"/>
              </w:rPr>
            </w:pPr>
          </w:p>
          <w:p>
            <w:pPr>
              <w:ind w:firstLine="323" w:firstLineChars="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eastAsia="仿宋"/>
                <w:lang w:eastAsia="zh-CN"/>
              </w:rPr>
            </w:pPr>
          </w:p>
        </w:tc>
        <w:tc>
          <w:tcPr>
            <w:tcW w:w="200" w:type="pct"/>
            <w:vAlign w:val="center"/>
          </w:tcPr>
          <w:p>
            <w:pPr>
              <w:widowControl/>
              <w:snapToGrid w:val="0"/>
              <w:spacing w:line="200" w:lineRule="atLeast"/>
              <w:jc w:val="center"/>
              <w:textAlignment w:val="center"/>
              <w:rPr>
                <w:rFonts w:ascii="仿宋" w:hAnsi="仿宋" w:eastAsia="仿宋" w:cs="仿宋"/>
                <w:kern w:val="0"/>
                <w:sz w:val="24"/>
                <w:lang w:bidi="ar"/>
              </w:rPr>
            </w:pPr>
          </w:p>
        </w:tc>
        <w:tc>
          <w:tcPr>
            <w:tcW w:w="435" w:type="pct"/>
            <w:vAlign w:val="center"/>
          </w:tcPr>
          <w:p>
            <w:pPr>
              <w:widowControl/>
              <w:snapToGrid w:val="0"/>
              <w:spacing w:line="200" w:lineRule="atLeast"/>
              <w:jc w:val="center"/>
              <w:textAlignment w:val="center"/>
              <w:rPr>
                <w:rFonts w:ascii="仿宋" w:hAnsi="仿宋" w:eastAsia="仿宋" w:cs="仿宋"/>
                <w:kern w:val="0"/>
                <w:sz w:val="24"/>
                <w:lang w:bidi="ar"/>
              </w:rPr>
            </w:pPr>
          </w:p>
        </w:tc>
        <w:tc>
          <w:tcPr>
            <w:tcW w:w="506" w:type="pct"/>
            <w:vAlign w:val="center"/>
          </w:tcPr>
          <w:p>
            <w:pPr>
              <w:widowControl/>
              <w:snapToGrid w:val="0"/>
              <w:spacing w:line="200" w:lineRule="atLeast"/>
              <w:jc w:val="left"/>
              <w:textAlignment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挂牌竞价</w:t>
            </w:r>
          </w:p>
        </w:tc>
        <w:tc>
          <w:tcPr>
            <w:tcW w:w="2890" w:type="pct"/>
            <w:vAlign w:val="center"/>
          </w:tcPr>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1、使用CA证书或者用户名登陆湖南省公共资源交易中心矿业权交易系统，选择主体类型身份，参加竞买；</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2、竞价时段。挂牌项目每一个轮次的竞价时段包括挂牌期竞价和限时竞价两个时段。</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（1）挂牌期竞价期。是指在挂牌开始至挂牌截止时段内，竞买人人可无次数限制的加价（或减价）报价，报价方式采取增价方式。挂牌期间的第一人次报价可以等于起始价；</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2）限时竞价期。是指挂牌期竞价期结束后，系统即时进入限时竞价期。限时竞价期依次包括时长4分钟的询问期时段和时长4分钟的竞价时段；询问期内只要有人点击“同意”按钮，则立即进入竞价时段；超过4分钟未点击，则交易系统视该竞买人拒绝参加限时竞价，拒绝参加限时竞价的竞买人在限时竞价期间无出价的权利。限时时段内只要有新的报价，则进入下一个时长4分钟的竞价时段，依次循环；竞价时段内如没有出现新的报价，则依成交原则成交，本轮次竞价程序结束。</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3、应尽量避免到接近挂牌截止时间才出价，以防止因网络延迟问题，交易系统无法及时接收到报价的情况发生；</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4、竞买人应当通过交易系统提交报价，并不得撤回报价；</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5、下列情形的报价为无效报价：</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①因竞买人的电脑系统故障，未在竞价期间报出的；</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②因网络故障和交易系统故障，交易系统未在竞价期间收到的；</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③不符合报价规则的；</w:t>
            </w:r>
          </w:p>
          <w:p>
            <w:pPr>
              <w:widowControl/>
              <w:snapToGrid w:val="0"/>
              <w:spacing w:line="200" w:lineRule="atLeast"/>
              <w:textAlignment w:val="center"/>
              <w:rPr>
                <w:rFonts w:hint="eastAsia" w:ascii="仿宋" w:hAnsi="仿宋" w:eastAsia="仿宋" w:cs="仿宋"/>
                <w:bCs/>
                <w:sz w:val="24"/>
                <w:lang w:val="en"/>
              </w:rPr>
            </w:pPr>
            <w:r>
              <w:rPr>
                <w:rFonts w:hint="eastAsia" w:ascii="仿宋" w:hAnsi="仿宋" w:eastAsia="仿宋" w:cs="仿宋"/>
                <w:bCs/>
                <w:sz w:val="24"/>
                <w:lang w:val="en"/>
              </w:rPr>
              <w:t>④不符合网上挂牌出让文件规定的其他情形。</w:t>
            </w:r>
          </w:p>
        </w:tc>
        <w:tc>
          <w:tcPr>
            <w:tcW w:w="700" w:type="pct"/>
            <w:vAlign w:val="center"/>
          </w:tcPr>
          <w:p>
            <w:pPr>
              <w:snapToGrid w:val="0"/>
              <w:spacing w:line="200" w:lineRule="atLeast"/>
              <w:jc w:val="center"/>
              <w:rPr>
                <w:rFonts w:ascii="仿宋" w:hAnsi="仿宋" w:eastAsia="仿宋" w:cs="仿宋"/>
                <w:bCs/>
                <w:sz w:val="24"/>
              </w:rPr>
            </w:pPr>
            <w:r>
              <w:rPr>
                <w:rFonts w:hint="eastAsia" w:ascii="仿宋" w:hAnsi="仿宋" w:eastAsia="仿宋" w:cs="仿宋"/>
                <w:spacing w:val="7"/>
                <w:sz w:val="24"/>
              </w:rPr>
              <w:t>竞买人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1" w:hRule="atLeast"/>
          <w:jc w:val="center"/>
        </w:trPr>
        <w:tc>
          <w:tcPr>
            <w:tcW w:w="267" w:type="pct"/>
            <w:vMerge w:val="restart"/>
            <w:vAlign w:val="center"/>
          </w:tcPr>
          <w:p>
            <w:pPr>
              <w:widowControl/>
              <w:snapToGrid w:val="0"/>
              <w:spacing w:line="200" w:lineRule="atLeast"/>
              <w:jc w:val="center"/>
              <w:rPr>
                <w:rFonts w:ascii="仿宋" w:hAnsi="仿宋" w:eastAsia="仿宋" w:cs="仿宋"/>
                <w:sz w:val="24"/>
              </w:rPr>
            </w:pPr>
            <w:r>
              <w:rPr>
                <w:rFonts w:hint="eastAsia" w:ascii="仿宋" w:hAnsi="仿宋" w:eastAsia="仿宋" w:cs="仿宋"/>
                <w:sz w:val="24"/>
                <w:lang w:eastAsia="zh-CN"/>
              </w:rPr>
              <w:t>挂牌后</w:t>
            </w:r>
          </w:p>
        </w:tc>
        <w:tc>
          <w:tcPr>
            <w:tcW w:w="200" w:type="pc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四</w:t>
            </w:r>
          </w:p>
        </w:tc>
        <w:tc>
          <w:tcPr>
            <w:tcW w:w="435" w:type="pc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成交确认</w:t>
            </w:r>
          </w:p>
        </w:tc>
        <w:tc>
          <w:tcPr>
            <w:tcW w:w="506" w:type="pct"/>
            <w:vAlign w:val="center"/>
          </w:tcPr>
          <w:p>
            <w:pPr>
              <w:widowControl/>
              <w:snapToGrid w:val="0"/>
              <w:spacing w:line="200" w:lineRule="atLeast"/>
              <w:jc w:val="left"/>
              <w:textAlignment w:val="center"/>
              <w:rPr>
                <w:rFonts w:ascii="仿宋" w:hAnsi="仿宋" w:eastAsia="仿宋" w:cs="仿宋"/>
                <w:sz w:val="24"/>
              </w:rPr>
            </w:pPr>
            <w:r>
              <w:rPr>
                <w:rFonts w:hint="eastAsia" w:ascii="仿宋" w:hAnsi="仿宋" w:eastAsia="仿宋" w:cs="仿宋"/>
                <w:sz w:val="24"/>
                <w:lang w:val="en"/>
              </w:rPr>
              <w:t>1.</w:t>
            </w:r>
            <w:r>
              <w:rPr>
                <w:rFonts w:hint="eastAsia" w:ascii="仿宋" w:hAnsi="仿宋" w:eastAsia="仿宋" w:cs="仿宋"/>
                <w:sz w:val="24"/>
              </w:rPr>
              <w:t>确认竞得人</w:t>
            </w:r>
          </w:p>
        </w:tc>
        <w:tc>
          <w:tcPr>
            <w:tcW w:w="2890" w:type="pct"/>
            <w:vAlign w:val="center"/>
          </w:tcPr>
          <w:p>
            <w:pPr>
              <w:widowControl/>
              <w:snapToGrid w:val="0"/>
              <w:spacing w:line="200" w:lineRule="atLeast"/>
              <w:jc w:val="left"/>
              <w:textAlignment w:val="center"/>
              <w:rPr>
                <w:rFonts w:hint="eastAsia" w:ascii="仿宋" w:hAnsi="仿宋" w:eastAsia="仿宋" w:cs="仿宋"/>
                <w:bCs/>
                <w:color w:val="FF0000"/>
                <w:sz w:val="24"/>
                <w:lang w:eastAsia="zh-CN"/>
              </w:rPr>
            </w:pPr>
            <w:r>
              <w:rPr>
                <w:rFonts w:hint="eastAsia" w:ascii="仿宋" w:hAnsi="仿宋" w:eastAsia="仿宋" w:cs="仿宋"/>
                <w:bCs/>
                <w:sz w:val="24"/>
              </w:rPr>
              <w:t>1、成交原则：无论挂牌期内还是限时竞价期内，</w:t>
            </w:r>
            <w:r>
              <w:rPr>
                <w:rFonts w:hint="eastAsia" w:ascii="仿宋" w:hAnsi="仿宋" w:eastAsia="仿宋" w:cs="仿宋"/>
                <w:bCs/>
                <w:color w:val="FF0000"/>
                <w:sz w:val="24"/>
                <w:lang w:eastAsia="zh-CN"/>
              </w:rPr>
              <w:t>出</w:t>
            </w:r>
            <w:r>
              <w:rPr>
                <w:rFonts w:hint="eastAsia" w:ascii="仿宋" w:hAnsi="仿宋" w:eastAsia="仿宋" w:cs="仿宋"/>
                <w:bCs/>
                <w:strike w:val="0"/>
                <w:dstrike w:val="0"/>
                <w:sz w:val="24"/>
              </w:rPr>
              <w:t>转</w:t>
            </w:r>
            <w:r>
              <w:rPr>
                <w:rFonts w:hint="eastAsia" w:ascii="仿宋" w:hAnsi="仿宋" w:eastAsia="仿宋" w:cs="仿宋"/>
                <w:bCs/>
                <w:sz w:val="24"/>
              </w:rPr>
              <w:t>让挂牌的项目，按价高者得的原则成交确定受让方；</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2、系统自动按照成交原则向竞得人推送成交确认书和缴纳服务费通知书。</w:t>
            </w:r>
          </w:p>
        </w:tc>
        <w:tc>
          <w:tcPr>
            <w:tcW w:w="700" w:type="pct"/>
            <w:vAlign w:val="center"/>
          </w:tcPr>
          <w:p>
            <w:pPr>
              <w:widowControl/>
              <w:snapToGrid w:val="0"/>
              <w:spacing w:line="200" w:lineRule="atLeast"/>
              <w:jc w:val="center"/>
              <w:textAlignment w:val="center"/>
              <w:rPr>
                <w:rFonts w:ascii="仿宋" w:hAnsi="仿宋" w:eastAsia="仿宋" w:cs="仿宋"/>
                <w:bCs/>
                <w:sz w:val="24"/>
              </w:rPr>
            </w:pPr>
            <w:r>
              <w:rPr>
                <w:rFonts w:hint="eastAsia" w:ascii="仿宋" w:hAnsi="仿宋" w:eastAsia="仿宋" w:cs="仿宋"/>
                <w:bCs/>
                <w:sz w:val="24"/>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70" w:hRule="atLeast"/>
          <w:jc w:val="center"/>
        </w:trPr>
        <w:tc>
          <w:tcPr>
            <w:tcW w:w="267" w:type="pct"/>
            <w:vMerge w:val="continue"/>
            <w:vAlign w:val="center"/>
          </w:tcPr>
          <w:p>
            <w:pPr>
              <w:widowControl/>
              <w:snapToGrid w:val="0"/>
              <w:spacing w:line="200" w:lineRule="atLeast"/>
              <w:jc w:val="center"/>
              <w:rPr>
                <w:rFonts w:ascii="仿宋" w:hAnsi="仿宋" w:eastAsia="仿宋" w:cs="仿宋"/>
                <w:sz w:val="24"/>
              </w:rPr>
            </w:pPr>
          </w:p>
        </w:tc>
        <w:tc>
          <w:tcPr>
            <w:tcW w:w="200" w:type="pct"/>
            <w:vMerge w:val="restar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五</w:t>
            </w:r>
          </w:p>
        </w:tc>
        <w:tc>
          <w:tcPr>
            <w:tcW w:w="435" w:type="pct"/>
            <w:vMerge w:val="restart"/>
            <w:vAlign w:val="center"/>
          </w:tcPr>
          <w:p>
            <w:pPr>
              <w:widowControl/>
              <w:snapToGrid w:val="0"/>
              <w:spacing w:line="200" w:lineRule="atLeast"/>
              <w:jc w:val="center"/>
              <w:textAlignment w:val="center"/>
              <w:rPr>
                <w:rFonts w:ascii="仿宋" w:hAnsi="仿宋" w:eastAsia="仿宋" w:cs="仿宋"/>
                <w:kern w:val="0"/>
                <w:sz w:val="24"/>
              </w:rPr>
            </w:pPr>
            <w:r>
              <w:rPr>
                <w:rFonts w:hint="eastAsia" w:ascii="仿宋" w:hAnsi="仿宋" w:eastAsia="仿宋" w:cs="仿宋"/>
                <w:sz w:val="24"/>
              </w:rPr>
              <w:t>缴费及签章</w:t>
            </w:r>
          </w:p>
        </w:tc>
        <w:tc>
          <w:tcPr>
            <w:tcW w:w="506" w:type="pct"/>
            <w:vAlign w:val="center"/>
          </w:tcPr>
          <w:p>
            <w:pPr>
              <w:widowControl/>
              <w:snapToGrid w:val="0"/>
              <w:spacing w:line="200" w:lineRule="atLeast"/>
              <w:jc w:val="left"/>
              <w:textAlignment w:val="cente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成交确认书签章</w:t>
            </w:r>
          </w:p>
        </w:tc>
        <w:tc>
          <w:tcPr>
            <w:tcW w:w="2890" w:type="pct"/>
            <w:vAlign w:val="center"/>
          </w:tcPr>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1、竞得人应在</w:t>
            </w:r>
            <w:r>
              <w:rPr>
                <w:rFonts w:hint="eastAsia" w:ascii="仿宋" w:hAnsi="仿宋" w:eastAsia="仿宋" w:cs="仿宋"/>
                <w:bCs/>
                <w:sz w:val="24"/>
                <w:lang w:eastAsia="zh-CN"/>
              </w:rPr>
              <w:t>收到</w:t>
            </w:r>
            <w:r>
              <w:rPr>
                <w:rFonts w:hint="eastAsia" w:ascii="仿宋" w:hAnsi="仿宋" w:eastAsia="仿宋" w:cs="仿宋"/>
                <w:bCs/>
                <w:sz w:val="24"/>
              </w:rPr>
              <w:t>《矿业权网上挂牌出让竞得通知书》之日起5个工作日内登录交易系统签订《采矿权网上挂牌出让成交确认书》；</w:t>
            </w:r>
          </w:p>
          <w:p>
            <w:pPr>
              <w:widowControl/>
              <w:snapToGrid w:val="0"/>
              <w:spacing w:line="200" w:lineRule="atLeast"/>
              <w:jc w:val="left"/>
              <w:textAlignment w:val="center"/>
              <w:rPr>
                <w:rFonts w:hint="eastAsia" w:ascii="仿宋" w:hAnsi="仿宋" w:eastAsia="仿宋" w:cs="仿宋"/>
                <w:bCs/>
                <w:sz w:val="24"/>
              </w:rPr>
            </w:pPr>
            <w:r>
              <w:rPr>
                <w:rFonts w:hint="eastAsia" w:ascii="仿宋" w:hAnsi="仿宋" w:eastAsia="仿宋" w:cs="仿宋"/>
                <w:bCs/>
                <w:sz w:val="24"/>
              </w:rPr>
              <w:t>2、挂牌出让成交后，《采矿权网上挂牌出让竞得通知书》具有合同证明效力。挂牌人或委托人改变挂牌结果，或竞得人放弃竞得的，应当承担法律责任。</w:t>
            </w:r>
          </w:p>
        </w:tc>
        <w:tc>
          <w:tcPr>
            <w:tcW w:w="700" w:type="pct"/>
            <w:vAlign w:val="center"/>
          </w:tcPr>
          <w:p>
            <w:pPr>
              <w:snapToGrid w:val="0"/>
              <w:spacing w:line="200" w:lineRule="atLeast"/>
              <w:jc w:val="center"/>
              <w:rPr>
                <w:rFonts w:hint="eastAsia" w:ascii="仿宋" w:hAnsi="仿宋" w:eastAsia="仿宋" w:cs="仿宋"/>
                <w:bCs/>
                <w:sz w:val="24"/>
                <w:lang w:eastAsia="zh-CN"/>
              </w:rPr>
            </w:pPr>
            <w:r>
              <w:rPr>
                <w:rFonts w:hint="eastAsia" w:ascii="仿宋" w:hAnsi="仿宋" w:eastAsia="仿宋" w:cs="仿宋"/>
                <w:bCs/>
                <w:sz w:val="24"/>
                <w:lang w:eastAsia="zh-CN"/>
              </w:rPr>
              <w:t>竞得人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55" w:hRule="atLeast"/>
          <w:jc w:val="center"/>
        </w:trPr>
        <w:tc>
          <w:tcPr>
            <w:tcW w:w="267" w:type="pct"/>
            <w:vMerge w:val="continue"/>
            <w:vAlign w:val="center"/>
          </w:tcPr>
          <w:p>
            <w:pPr>
              <w:widowControl/>
              <w:snapToGrid w:val="0"/>
              <w:spacing w:line="200" w:lineRule="atLeast"/>
              <w:jc w:val="center"/>
              <w:rPr>
                <w:rFonts w:ascii="仿宋" w:hAnsi="仿宋" w:eastAsia="仿宋" w:cs="仿宋"/>
                <w:sz w:val="24"/>
              </w:rPr>
            </w:pPr>
          </w:p>
        </w:tc>
        <w:tc>
          <w:tcPr>
            <w:tcW w:w="200"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435" w:type="pct"/>
            <w:vMerge w:val="continue"/>
            <w:vAlign w:val="center"/>
          </w:tcPr>
          <w:p>
            <w:pPr>
              <w:widowControl/>
              <w:snapToGrid w:val="0"/>
              <w:spacing w:line="200" w:lineRule="atLeast"/>
              <w:jc w:val="center"/>
              <w:textAlignment w:val="center"/>
              <w:rPr>
                <w:rFonts w:ascii="仿宋" w:hAnsi="仿宋" w:eastAsia="仿宋" w:cs="仿宋"/>
                <w:kern w:val="0"/>
                <w:sz w:val="24"/>
              </w:rPr>
            </w:pPr>
          </w:p>
        </w:tc>
        <w:tc>
          <w:tcPr>
            <w:tcW w:w="506" w:type="pct"/>
            <w:vAlign w:val="center"/>
          </w:tcPr>
          <w:p>
            <w:pPr>
              <w:widowControl/>
              <w:snapToGrid w:val="0"/>
              <w:spacing w:line="200" w:lineRule="atLeast"/>
              <w:jc w:val="left"/>
              <w:textAlignment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.缴纳交易服务费</w:t>
            </w:r>
          </w:p>
        </w:tc>
        <w:tc>
          <w:tcPr>
            <w:tcW w:w="2890" w:type="pct"/>
            <w:vAlign w:val="center"/>
          </w:tcPr>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1、竞得人应在成交之日起5个工作日内按照湘发改价费〔2019〕366号规定缴纳交易服务费；</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2、缴费账户户名：湖南省财政厅国库处非税收入汇缴结算户，开户行：兴业银行江滨支行，帐号：368120100100249628；</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3、详见《湖南省公共资源交易中心矿业权交易系统竞买人操作指南》；</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4、如未按出让公告要求及时缴纳交易服务费的，由挂牌人向银行发送划转指令，直接划转交易服务费；</w:t>
            </w:r>
          </w:p>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5、竞得人如被公安、司法机关采取冻结划扣措施的，从其规定，对冻结划扣之外的结余资金仍进行止付和履行相关约定中的义务。</w:t>
            </w:r>
          </w:p>
        </w:tc>
        <w:tc>
          <w:tcPr>
            <w:tcW w:w="700" w:type="pct"/>
            <w:vMerge w:val="restart"/>
            <w:vAlign w:val="center"/>
          </w:tcPr>
          <w:p>
            <w:pPr>
              <w:snapToGrid w:val="0"/>
              <w:spacing w:line="200" w:lineRule="atLeast"/>
              <w:jc w:val="center"/>
              <w:rPr>
                <w:rFonts w:ascii="仿宋" w:hAnsi="仿宋" w:eastAsia="仿宋" w:cs="仿宋"/>
                <w:bCs/>
                <w:sz w:val="24"/>
              </w:rPr>
            </w:pPr>
            <w:r>
              <w:rPr>
                <w:rFonts w:hint="eastAsia" w:ascii="仿宋" w:hAnsi="仿宋" w:eastAsia="仿宋" w:cs="仿宋"/>
                <w:bCs/>
                <w:sz w:val="24"/>
                <w:lang w:eastAsia="zh-CN"/>
              </w:rPr>
              <w:t>竞得人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66" w:hRule="atLeast"/>
          <w:jc w:val="center"/>
        </w:trPr>
        <w:tc>
          <w:tcPr>
            <w:tcW w:w="267" w:type="pct"/>
            <w:vMerge w:val="continue"/>
            <w:vAlign w:val="center"/>
          </w:tcPr>
          <w:p>
            <w:pPr>
              <w:widowControl/>
              <w:snapToGrid w:val="0"/>
              <w:spacing w:line="200" w:lineRule="atLeast"/>
              <w:jc w:val="center"/>
              <w:rPr>
                <w:rFonts w:ascii="仿宋" w:hAnsi="仿宋" w:eastAsia="仿宋" w:cs="仿宋"/>
                <w:sz w:val="24"/>
              </w:rPr>
            </w:pPr>
          </w:p>
        </w:tc>
        <w:tc>
          <w:tcPr>
            <w:tcW w:w="200"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435" w:type="pct"/>
            <w:vMerge w:val="continue"/>
            <w:vAlign w:val="center"/>
          </w:tcPr>
          <w:p>
            <w:pPr>
              <w:widowControl/>
              <w:snapToGrid w:val="0"/>
              <w:spacing w:line="200" w:lineRule="atLeast"/>
              <w:jc w:val="center"/>
              <w:textAlignment w:val="center"/>
              <w:rPr>
                <w:rFonts w:ascii="仿宋" w:hAnsi="仿宋" w:eastAsia="仿宋" w:cs="仿宋"/>
                <w:kern w:val="0"/>
                <w:sz w:val="24"/>
                <w:lang w:bidi="ar"/>
              </w:rPr>
            </w:pPr>
          </w:p>
        </w:tc>
        <w:tc>
          <w:tcPr>
            <w:tcW w:w="506" w:type="pct"/>
            <w:vAlign w:val="center"/>
          </w:tcPr>
          <w:p>
            <w:pPr>
              <w:widowControl/>
              <w:snapToGrid w:val="0"/>
              <w:spacing w:line="200" w:lineRule="atLeast"/>
              <w:jc w:val="left"/>
              <w:textAlignment w:val="center"/>
              <w:rPr>
                <w:rFonts w:ascii="仿宋" w:hAnsi="仿宋" w:eastAsia="仿宋" w:cs="仿宋"/>
                <w:sz w:val="24"/>
              </w:rPr>
            </w:pPr>
            <w:r>
              <w:rPr>
                <w:rFonts w:hint="eastAsia" w:ascii="仿宋" w:hAnsi="仿宋" w:eastAsia="仿宋" w:cs="仿宋"/>
                <w:sz w:val="24"/>
              </w:rPr>
              <w:t>3.签订出让合同</w:t>
            </w:r>
          </w:p>
        </w:tc>
        <w:tc>
          <w:tcPr>
            <w:tcW w:w="2890" w:type="pct"/>
            <w:vAlign w:val="center"/>
          </w:tcPr>
          <w:p>
            <w:pPr>
              <w:widowControl/>
              <w:snapToGrid w:val="0"/>
              <w:spacing w:line="200" w:lineRule="atLeast"/>
              <w:jc w:val="left"/>
              <w:textAlignment w:val="center"/>
              <w:rPr>
                <w:rFonts w:ascii="仿宋" w:hAnsi="仿宋" w:eastAsia="仿宋" w:cs="仿宋"/>
                <w:bCs/>
                <w:sz w:val="24"/>
              </w:rPr>
            </w:pPr>
            <w:r>
              <w:rPr>
                <w:rFonts w:hint="eastAsia" w:ascii="仿宋" w:hAnsi="仿宋" w:eastAsia="仿宋" w:cs="仿宋"/>
                <w:bCs/>
                <w:sz w:val="24"/>
              </w:rPr>
              <w:t>竞得人应当在签订《成交确认书》之日起5个工作日与湖南省自然资源厅签订《采矿权出让合同》。</w:t>
            </w:r>
          </w:p>
        </w:tc>
        <w:tc>
          <w:tcPr>
            <w:tcW w:w="700" w:type="pct"/>
            <w:vMerge w:val="continue"/>
            <w:vAlign w:val="center"/>
          </w:tcPr>
          <w:p>
            <w:pPr>
              <w:snapToGrid w:val="0"/>
              <w:spacing w:line="200" w:lineRule="atLeas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61" w:hRule="atLeast"/>
          <w:jc w:val="center"/>
        </w:trPr>
        <w:tc>
          <w:tcPr>
            <w:tcW w:w="267" w:type="pct"/>
            <w:vMerge w:val="continue"/>
            <w:vAlign w:val="center"/>
          </w:tcPr>
          <w:p>
            <w:pPr>
              <w:widowControl/>
              <w:snapToGrid w:val="0"/>
              <w:spacing w:line="200" w:lineRule="atLeast"/>
              <w:jc w:val="center"/>
              <w:rPr>
                <w:rFonts w:ascii="仿宋" w:hAnsi="仿宋" w:eastAsia="仿宋" w:cs="仿宋"/>
                <w:sz w:val="24"/>
              </w:rPr>
            </w:pPr>
          </w:p>
        </w:tc>
        <w:tc>
          <w:tcPr>
            <w:tcW w:w="200" w:type="pct"/>
            <w:vAlign w:val="center"/>
          </w:tcPr>
          <w:p>
            <w:pPr>
              <w:widowControl/>
              <w:snapToGrid w:val="0"/>
              <w:spacing w:line="200" w:lineRule="atLeas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六</w:t>
            </w:r>
          </w:p>
        </w:tc>
        <w:tc>
          <w:tcPr>
            <w:tcW w:w="435" w:type="pct"/>
            <w:vAlign w:val="center"/>
          </w:tcPr>
          <w:p>
            <w:pPr>
              <w:widowControl/>
              <w:snapToGrid w:val="0"/>
              <w:spacing w:line="200" w:lineRule="atLeast"/>
              <w:ind w:right="-271" w:rightChars="-129"/>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解除银行止付</w:t>
            </w:r>
          </w:p>
        </w:tc>
        <w:tc>
          <w:tcPr>
            <w:tcW w:w="506" w:type="pct"/>
            <w:vAlign w:val="center"/>
          </w:tcPr>
          <w:p>
            <w:pPr>
              <w:widowControl/>
              <w:snapToGrid w:val="0"/>
              <w:spacing w:line="200" w:lineRule="atLeast"/>
              <w:jc w:val="left"/>
              <w:textAlignment w:val="center"/>
              <w:rPr>
                <w:rFonts w:ascii="仿宋" w:hAnsi="仿宋" w:eastAsia="仿宋" w:cs="仿宋"/>
                <w:sz w:val="24"/>
              </w:rPr>
            </w:pPr>
            <w:r>
              <w:rPr>
                <w:rFonts w:ascii="仿宋" w:hAnsi="仿宋" w:eastAsia="仿宋" w:cs="仿宋"/>
                <w:kern w:val="0"/>
                <w:sz w:val="24"/>
                <w:lang w:val="en" w:bidi="ar"/>
              </w:rPr>
              <w:t>1.</w:t>
            </w:r>
            <w:r>
              <w:rPr>
                <w:rFonts w:hint="eastAsia" w:ascii="仿宋" w:hAnsi="仿宋" w:eastAsia="仿宋" w:cs="仿宋"/>
                <w:kern w:val="0"/>
                <w:sz w:val="24"/>
                <w:lang w:bidi="ar"/>
              </w:rPr>
              <w:t>解除银行止付</w:t>
            </w:r>
          </w:p>
        </w:tc>
        <w:tc>
          <w:tcPr>
            <w:tcW w:w="2890" w:type="pct"/>
            <w:vAlign w:val="center"/>
          </w:tcPr>
          <w:p>
            <w:pPr>
              <w:widowControl/>
              <w:snapToGrid w:val="0"/>
              <w:spacing w:line="200" w:lineRule="atLeast"/>
              <w:jc w:val="left"/>
              <w:textAlignment w:val="center"/>
              <w:rPr>
                <w:rFonts w:hint="eastAsia" w:ascii="仿宋" w:hAnsi="仿宋" w:eastAsia="仿宋" w:cs="仿宋"/>
                <w:bCs/>
                <w:sz w:val="24"/>
                <w:lang w:eastAsia="zh-CN"/>
              </w:rPr>
            </w:pPr>
            <w:r>
              <w:rPr>
                <w:rFonts w:hint="eastAsia"/>
                <w:lang w:val="en-US" w:eastAsia="zh-CN"/>
              </w:rPr>
              <w:t>1、</w:t>
            </w:r>
            <w:r>
              <w:rPr>
                <w:rFonts w:hint="eastAsia" w:ascii="仿宋" w:hAnsi="仿宋" w:eastAsia="仿宋" w:cs="仿宋"/>
                <w:bCs/>
                <w:sz w:val="24"/>
              </w:rPr>
              <w:t>成交之日起2个工作日之内，交易中心向银行提供《解除银行止付通知书》办理</w:t>
            </w:r>
            <w:r>
              <w:rPr>
                <w:rFonts w:hint="eastAsia" w:ascii="仿宋" w:hAnsi="仿宋" w:eastAsia="仿宋" w:cs="仿宋"/>
                <w:bCs/>
                <w:sz w:val="24"/>
                <w:lang w:eastAsia="zh-CN"/>
              </w:rPr>
              <w:t>未竟得人</w:t>
            </w:r>
            <w:r>
              <w:rPr>
                <w:rFonts w:hint="eastAsia" w:ascii="仿宋" w:hAnsi="仿宋" w:eastAsia="仿宋" w:cs="仿宋"/>
                <w:bCs/>
                <w:sz w:val="24"/>
              </w:rPr>
              <w:t>止付解除</w:t>
            </w:r>
            <w:r>
              <w:rPr>
                <w:rFonts w:hint="eastAsia" w:ascii="仿宋" w:hAnsi="仿宋" w:eastAsia="仿宋" w:cs="仿宋"/>
                <w:bCs/>
                <w:sz w:val="24"/>
                <w:lang w:eastAsia="zh-CN"/>
              </w:rPr>
              <w:t>。</w:t>
            </w:r>
          </w:p>
          <w:p>
            <w:pPr>
              <w:widowControl/>
              <w:snapToGrid w:val="0"/>
              <w:spacing w:line="200" w:lineRule="atLeast"/>
              <w:jc w:val="left"/>
              <w:textAlignment w:val="center"/>
              <w:rPr>
                <w:rFonts w:hint="default"/>
                <w:lang w:val="en-US" w:eastAsia="zh-CN"/>
              </w:rPr>
            </w:pPr>
            <w:r>
              <w:rPr>
                <w:rFonts w:hint="eastAsia" w:ascii="仿宋" w:hAnsi="仿宋" w:eastAsia="仿宋" w:cs="仿宋"/>
                <w:bCs/>
                <w:sz w:val="24"/>
                <w:lang w:val="en-US" w:eastAsia="zh-CN"/>
              </w:rPr>
              <w:t>2</w:t>
            </w:r>
            <w:r>
              <w:rPr>
                <w:rFonts w:hint="eastAsia" w:ascii="仿宋" w:hAnsi="仿宋" w:eastAsia="仿宋" w:cs="仿宋"/>
                <w:bCs/>
                <w:color w:val="000000" w:themeColor="text1"/>
                <w:sz w:val="24"/>
                <w:lang w:val="en-US" w:eastAsia="zh-CN"/>
                <w14:textFill>
                  <w14:solidFill>
                    <w14:schemeClr w14:val="tx1"/>
                  </w14:solidFill>
                </w14:textFill>
              </w:rPr>
              <w:t>、签订合同后，接委托人通知，</w:t>
            </w:r>
            <w:r>
              <w:rPr>
                <w:rFonts w:hint="eastAsia" w:ascii="仿宋" w:hAnsi="仿宋" w:eastAsia="仿宋" w:cs="仿宋"/>
                <w:bCs/>
                <w:color w:val="000000" w:themeColor="text1"/>
                <w:sz w:val="24"/>
                <w14:textFill>
                  <w14:solidFill>
                    <w14:schemeClr w14:val="tx1"/>
                  </w14:solidFill>
                </w14:textFill>
              </w:rPr>
              <w:t>交易中心向银行</w:t>
            </w:r>
            <w:r>
              <w:rPr>
                <w:rFonts w:hint="eastAsia" w:ascii="仿宋" w:hAnsi="仿宋" w:eastAsia="仿宋" w:cs="仿宋"/>
                <w:bCs/>
                <w:color w:val="000000" w:themeColor="text1"/>
                <w:sz w:val="24"/>
                <w:lang w:eastAsia="zh-CN"/>
                <w14:textFill>
                  <w14:solidFill>
                    <w14:schemeClr w14:val="tx1"/>
                  </w14:solidFill>
                </w14:textFill>
              </w:rPr>
              <w:t>提</w:t>
            </w:r>
            <w:r>
              <w:rPr>
                <w:rFonts w:hint="eastAsia" w:ascii="仿宋" w:hAnsi="仿宋" w:eastAsia="仿宋" w:cs="仿宋"/>
                <w:bCs/>
                <w:color w:val="000000" w:themeColor="text1"/>
                <w:sz w:val="24"/>
                <w14:textFill>
                  <w14:solidFill>
                    <w14:schemeClr w14:val="tx1"/>
                  </w14:solidFill>
                </w14:textFill>
              </w:rPr>
              <w:t>供《解除银行止付通知书》办理</w:t>
            </w:r>
            <w:r>
              <w:rPr>
                <w:rFonts w:hint="eastAsia" w:ascii="仿宋" w:hAnsi="仿宋" w:eastAsia="仿宋" w:cs="仿宋"/>
                <w:bCs/>
                <w:color w:val="000000" w:themeColor="text1"/>
                <w:sz w:val="24"/>
                <w:lang w:eastAsia="zh-CN"/>
                <w14:textFill>
                  <w14:solidFill>
                    <w14:schemeClr w14:val="tx1"/>
                  </w14:solidFill>
                </w14:textFill>
              </w:rPr>
              <w:t>竟得人</w:t>
            </w:r>
            <w:r>
              <w:rPr>
                <w:rFonts w:hint="eastAsia" w:ascii="仿宋" w:hAnsi="仿宋" w:eastAsia="仿宋" w:cs="仿宋"/>
                <w:bCs/>
                <w:color w:val="000000" w:themeColor="text1"/>
                <w:sz w:val="24"/>
                <w14:textFill>
                  <w14:solidFill>
                    <w14:schemeClr w14:val="tx1"/>
                  </w14:solidFill>
                </w14:textFill>
              </w:rPr>
              <w:t>止付解除</w:t>
            </w:r>
            <w:r>
              <w:rPr>
                <w:rFonts w:hint="eastAsia" w:ascii="仿宋" w:hAnsi="仿宋" w:eastAsia="仿宋" w:cs="仿宋"/>
                <w:bCs/>
                <w:color w:val="000000" w:themeColor="text1"/>
                <w:sz w:val="24"/>
                <w:lang w:eastAsia="zh-CN"/>
                <w14:textFill>
                  <w14:solidFill>
                    <w14:schemeClr w14:val="tx1"/>
                  </w14:solidFill>
                </w14:textFill>
              </w:rPr>
              <w:t>。</w:t>
            </w:r>
          </w:p>
        </w:tc>
        <w:tc>
          <w:tcPr>
            <w:tcW w:w="700" w:type="pct"/>
            <w:vAlign w:val="center"/>
          </w:tcPr>
          <w:p>
            <w:pPr>
              <w:snapToGrid w:val="0"/>
              <w:spacing w:line="200" w:lineRule="atLeast"/>
              <w:jc w:val="center"/>
              <w:rPr>
                <w:rFonts w:ascii="仿宋" w:hAnsi="仿宋" w:eastAsia="仿宋" w:cs="仿宋"/>
                <w:bCs/>
                <w:sz w:val="24"/>
              </w:rPr>
            </w:pPr>
            <w:r>
              <w:rPr>
                <w:rFonts w:hint="eastAsia" w:ascii="仿宋" w:hAnsi="仿宋" w:eastAsia="仿宋" w:cs="仿宋"/>
                <w:bCs/>
                <w:sz w:val="24"/>
              </w:rPr>
              <w:t>交易中心</w:t>
            </w:r>
          </w:p>
        </w:tc>
      </w:tr>
    </w:tbl>
    <w:p>
      <w:r>
        <w:rPr>
          <w:rFonts w:hint="eastAsia" w:ascii="黑体" w:hAnsi="黑体" w:eastAsia="黑体" w:cs="黑体"/>
          <w:sz w:val="36"/>
          <w:szCs w:val="36"/>
        </w:rPr>
        <w:t xml:space="preserve">                                 </w:t>
      </w:r>
    </w:p>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YThiY2M0NTJiMzNjNzFlZWFlNzAzOWZmNTYxZjUifQ=="/>
  </w:docVars>
  <w:rsids>
    <w:rsidRoot w:val="00AB7D52"/>
    <w:rsid w:val="00015729"/>
    <w:rsid w:val="00054312"/>
    <w:rsid w:val="000A45F0"/>
    <w:rsid w:val="002771DA"/>
    <w:rsid w:val="00374F69"/>
    <w:rsid w:val="003E2128"/>
    <w:rsid w:val="00412A31"/>
    <w:rsid w:val="004C5CFB"/>
    <w:rsid w:val="005236AE"/>
    <w:rsid w:val="00560405"/>
    <w:rsid w:val="006A04D1"/>
    <w:rsid w:val="006F3035"/>
    <w:rsid w:val="007538F0"/>
    <w:rsid w:val="00827553"/>
    <w:rsid w:val="00924BC4"/>
    <w:rsid w:val="0097361D"/>
    <w:rsid w:val="00A57CA6"/>
    <w:rsid w:val="00A70F9A"/>
    <w:rsid w:val="00A71DDB"/>
    <w:rsid w:val="00AB7D52"/>
    <w:rsid w:val="00AD7688"/>
    <w:rsid w:val="00B20878"/>
    <w:rsid w:val="00BC48DE"/>
    <w:rsid w:val="00E6318F"/>
    <w:rsid w:val="00E6494A"/>
    <w:rsid w:val="00F217B9"/>
    <w:rsid w:val="00FB674C"/>
    <w:rsid w:val="00FC2654"/>
    <w:rsid w:val="00FE1B52"/>
    <w:rsid w:val="0192652E"/>
    <w:rsid w:val="04727636"/>
    <w:rsid w:val="08671945"/>
    <w:rsid w:val="0A3E65AB"/>
    <w:rsid w:val="0B6C5ED2"/>
    <w:rsid w:val="0BFB05F7"/>
    <w:rsid w:val="0C5D1BAD"/>
    <w:rsid w:val="0CF024F3"/>
    <w:rsid w:val="0E823BDC"/>
    <w:rsid w:val="0E942C3D"/>
    <w:rsid w:val="0EC23D41"/>
    <w:rsid w:val="0ED440E6"/>
    <w:rsid w:val="0F521683"/>
    <w:rsid w:val="11743EBE"/>
    <w:rsid w:val="11B97FD9"/>
    <w:rsid w:val="11C22383"/>
    <w:rsid w:val="11E22FD9"/>
    <w:rsid w:val="131859B5"/>
    <w:rsid w:val="13815EDF"/>
    <w:rsid w:val="14650A01"/>
    <w:rsid w:val="14FA7941"/>
    <w:rsid w:val="163928F5"/>
    <w:rsid w:val="16747876"/>
    <w:rsid w:val="17E57F7D"/>
    <w:rsid w:val="18D75BAC"/>
    <w:rsid w:val="193B171A"/>
    <w:rsid w:val="19560A90"/>
    <w:rsid w:val="1AFC516F"/>
    <w:rsid w:val="1E5163DB"/>
    <w:rsid w:val="1F92704C"/>
    <w:rsid w:val="227C4964"/>
    <w:rsid w:val="23343D8A"/>
    <w:rsid w:val="23BA00B1"/>
    <w:rsid w:val="25B137C9"/>
    <w:rsid w:val="26653A61"/>
    <w:rsid w:val="26CF1B59"/>
    <w:rsid w:val="275C211F"/>
    <w:rsid w:val="29001E4B"/>
    <w:rsid w:val="2BFE6E4E"/>
    <w:rsid w:val="2CD65ABA"/>
    <w:rsid w:val="2D0068BE"/>
    <w:rsid w:val="2FDD659E"/>
    <w:rsid w:val="32FE2DED"/>
    <w:rsid w:val="33482D6D"/>
    <w:rsid w:val="3601278A"/>
    <w:rsid w:val="363A7D25"/>
    <w:rsid w:val="363B4A32"/>
    <w:rsid w:val="364A63CD"/>
    <w:rsid w:val="36B67FED"/>
    <w:rsid w:val="38D363E5"/>
    <w:rsid w:val="39E02B23"/>
    <w:rsid w:val="3B5F6679"/>
    <w:rsid w:val="3BFD9DFB"/>
    <w:rsid w:val="3CBB3477"/>
    <w:rsid w:val="3DDB8604"/>
    <w:rsid w:val="3DE6686D"/>
    <w:rsid w:val="3EA77654"/>
    <w:rsid w:val="3EAB0813"/>
    <w:rsid w:val="409A44DC"/>
    <w:rsid w:val="40F85D6A"/>
    <w:rsid w:val="4220171D"/>
    <w:rsid w:val="42EB7E09"/>
    <w:rsid w:val="43C61DB5"/>
    <w:rsid w:val="4D4C4790"/>
    <w:rsid w:val="4DE90B17"/>
    <w:rsid w:val="4ED132E2"/>
    <w:rsid w:val="4F446D22"/>
    <w:rsid w:val="4FEB640A"/>
    <w:rsid w:val="50C22D17"/>
    <w:rsid w:val="51D922AF"/>
    <w:rsid w:val="532317F1"/>
    <w:rsid w:val="55EE2EA8"/>
    <w:rsid w:val="565C2507"/>
    <w:rsid w:val="5728063B"/>
    <w:rsid w:val="5879437D"/>
    <w:rsid w:val="59590E2B"/>
    <w:rsid w:val="5A37379F"/>
    <w:rsid w:val="5BCE11B3"/>
    <w:rsid w:val="5C1E107B"/>
    <w:rsid w:val="5D0B73F2"/>
    <w:rsid w:val="5D3FD876"/>
    <w:rsid w:val="5D813A81"/>
    <w:rsid w:val="5E3F545B"/>
    <w:rsid w:val="5EFE12E3"/>
    <w:rsid w:val="5F6F3B00"/>
    <w:rsid w:val="5FA171DD"/>
    <w:rsid w:val="5FB44AA0"/>
    <w:rsid w:val="636E6267"/>
    <w:rsid w:val="64C71494"/>
    <w:rsid w:val="65B83C57"/>
    <w:rsid w:val="65F76642"/>
    <w:rsid w:val="67B97A73"/>
    <w:rsid w:val="67FE4453"/>
    <w:rsid w:val="69DCBF37"/>
    <w:rsid w:val="6A7A2B04"/>
    <w:rsid w:val="6BCB7ABB"/>
    <w:rsid w:val="6BF68190"/>
    <w:rsid w:val="6CAFBD7D"/>
    <w:rsid w:val="6D104C61"/>
    <w:rsid w:val="6D254FA9"/>
    <w:rsid w:val="6E9B3E8E"/>
    <w:rsid w:val="703C1DD4"/>
    <w:rsid w:val="71685E12"/>
    <w:rsid w:val="72001B41"/>
    <w:rsid w:val="733D19D8"/>
    <w:rsid w:val="73D223F2"/>
    <w:rsid w:val="73F7DFCB"/>
    <w:rsid w:val="74847EDE"/>
    <w:rsid w:val="749E6960"/>
    <w:rsid w:val="756C18CA"/>
    <w:rsid w:val="757BEA1D"/>
    <w:rsid w:val="75B55338"/>
    <w:rsid w:val="75D94833"/>
    <w:rsid w:val="75EC5226"/>
    <w:rsid w:val="77FF983C"/>
    <w:rsid w:val="79FEEB19"/>
    <w:rsid w:val="7A13AD14"/>
    <w:rsid w:val="7B6D090A"/>
    <w:rsid w:val="7DCFDF03"/>
    <w:rsid w:val="7E217FF4"/>
    <w:rsid w:val="7EB6A414"/>
    <w:rsid w:val="7FC7E00F"/>
    <w:rsid w:val="7FDA56A6"/>
    <w:rsid w:val="7FE79901"/>
    <w:rsid w:val="7FF95EFA"/>
    <w:rsid w:val="8DF17E89"/>
    <w:rsid w:val="8F9F359E"/>
    <w:rsid w:val="9FC5BF08"/>
    <w:rsid w:val="ADE90EE3"/>
    <w:rsid w:val="ADF90CA9"/>
    <w:rsid w:val="B3FE908A"/>
    <w:rsid w:val="B7FF4647"/>
    <w:rsid w:val="BBFF7809"/>
    <w:rsid w:val="BFBB4D00"/>
    <w:rsid w:val="CFD67F69"/>
    <w:rsid w:val="CFDFDDAF"/>
    <w:rsid w:val="E6FBE830"/>
    <w:rsid w:val="ED6F1B30"/>
    <w:rsid w:val="EF3E9019"/>
    <w:rsid w:val="EF77FE98"/>
    <w:rsid w:val="F3FBBB79"/>
    <w:rsid w:val="F9FBA1A5"/>
    <w:rsid w:val="FDFD16DD"/>
    <w:rsid w:val="FFAFF0A1"/>
    <w:rsid w:val="FFFDD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正文段落内容"/>
    <w:basedOn w:val="1"/>
    <w:qFormat/>
    <w:uiPriority w:val="0"/>
    <w:rPr>
      <w:kern w:val="0"/>
      <w:lang w:bidi="en-US"/>
    </w:rPr>
  </w:style>
  <w:style w:type="character" w:customStyle="1" w:styleId="10">
    <w:name w:val="font61"/>
    <w:basedOn w:val="8"/>
    <w:qFormat/>
    <w:uiPriority w:val="0"/>
    <w:rPr>
      <w:rFonts w:hint="eastAsia" w:ascii="宋体" w:hAnsi="宋体" w:eastAsia="宋体" w:cs="宋体"/>
      <w:color w:val="000000"/>
      <w:sz w:val="21"/>
      <w:szCs w:val="21"/>
      <w:u w:val="none"/>
    </w:rPr>
  </w:style>
  <w:style w:type="paragraph" w:customStyle="1" w:styleId="11">
    <w:name w:val="修订1"/>
    <w:hidden/>
    <w:semiHidden/>
    <w:qFormat/>
    <w:uiPriority w:val="99"/>
    <w:rPr>
      <w:rFonts w:ascii="Calibri" w:hAnsi="Calibri" w:eastAsia="宋体" w:cs="Times New Roman"/>
      <w:kern w:val="2"/>
      <w:sz w:val="21"/>
      <w:szCs w:val="24"/>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359</Words>
  <Characters>2050</Characters>
  <Lines>17</Lines>
  <Paragraphs>4</Paragraphs>
  <TotalTime>6</TotalTime>
  <ScaleCrop>false</ScaleCrop>
  <LinksUpToDate>false</LinksUpToDate>
  <CharactersWithSpaces>2405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2023-01-02T17:42:00Z</dcterms:created>
  <dc:creator>Administrator</dc:creator>
  <cp:lastModifiedBy>jyzx</cp:lastModifiedBy>
  <cp:lastPrinted>2023-01-11T16:25:00Z</cp:lastPrinted>
  <dcterms:modified xsi:type="dcterms:W3CDTF">2023-01-11T14:52:30Z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82E33EE0132F494686FB736EB4DC9947</vt:lpwstr>
  </property>
</Properties>
</file>