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</w:pPr>
      <w:bookmarkStart w:id="29" w:name="_GoBack"/>
      <w:bookmarkEnd w:id="29"/>
      <w:bookmarkStart w:id="0" w:name="_Toc24483"/>
      <w:bookmarkStart w:id="1" w:name="_Toc24211"/>
      <w:r>
        <w:drawing>
          <wp:inline distT="0" distB="0" distL="114300" distR="114300">
            <wp:extent cx="5271135" cy="1755140"/>
            <wp:effectExtent l="0" t="0" r="1206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  <w:rPr>
          <w:rFonts w:hint="eastAsia"/>
        </w:rPr>
      </w:pPr>
    </w:p>
    <w:p>
      <w:pPr>
        <w:jc w:val="center"/>
        <w:outlineLvl w:val="0"/>
        <w:rPr>
          <w:rFonts w:hint="eastAsia" w:eastAsiaTheme="minorEastAsia"/>
          <w:sz w:val="44"/>
          <w:szCs w:val="44"/>
          <w:lang w:eastAsia="zh-CN"/>
        </w:rPr>
      </w:pPr>
      <w:bookmarkStart w:id="2" w:name="_Toc28426"/>
      <w:r>
        <w:rPr>
          <w:rFonts w:hint="eastAsia"/>
          <w:sz w:val="44"/>
          <w:szCs w:val="44"/>
        </w:rPr>
        <w:t>矿业权交易</w:t>
      </w:r>
      <w:bookmarkEnd w:id="2"/>
      <w:r>
        <w:rPr>
          <w:rFonts w:hint="eastAsia"/>
          <w:sz w:val="44"/>
          <w:szCs w:val="44"/>
          <w:lang w:eastAsia="zh-CN"/>
        </w:rPr>
        <w:t>服务指南</w:t>
      </w:r>
    </w:p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（</w:t>
      </w:r>
      <w:r>
        <w:rPr>
          <w:rFonts w:hint="eastAsia"/>
          <w:sz w:val="44"/>
          <w:szCs w:val="44"/>
          <w:lang w:val="en-US" w:eastAsia="zh-CN"/>
        </w:rPr>
        <w:t>中心人员</w:t>
      </w:r>
      <w:r>
        <w:rPr>
          <w:rFonts w:hint="eastAsia"/>
          <w:sz w:val="44"/>
          <w:szCs w:val="44"/>
        </w:rPr>
        <w:t>）</w:t>
      </w: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202</w:t>
      </w:r>
      <w:r>
        <w:rPr>
          <w:rFonts w:hint="eastAsia"/>
          <w:sz w:val="44"/>
          <w:szCs w:val="44"/>
          <w:lang w:val="en-US" w:eastAsia="zh-CN"/>
        </w:rPr>
        <w:t>3年</w:t>
      </w:r>
      <w:r>
        <w:rPr>
          <w:rFonts w:hint="eastAsia"/>
          <w:sz w:val="44"/>
          <w:szCs w:val="44"/>
        </w:rPr>
        <w:t>0</w:t>
      </w:r>
      <w:r>
        <w:rPr>
          <w:rFonts w:hint="eastAsia"/>
          <w:sz w:val="44"/>
          <w:szCs w:val="44"/>
          <w:lang w:val="en-US" w:eastAsia="zh-CN"/>
        </w:rPr>
        <w:t>1月</w:t>
      </w:r>
    </w:p>
    <w:p>
      <w:pPr>
        <w:jc w:val="center"/>
        <w:rPr>
          <w:rFonts w:hint="eastAsia"/>
          <w:sz w:val="44"/>
          <w:szCs w:val="44"/>
        </w:rPr>
      </w:pPr>
    </w:p>
    <w:p>
      <w:pPr>
        <w:jc w:val="both"/>
        <w:rPr>
          <w:rFonts w:hint="eastAsia"/>
          <w:sz w:val="44"/>
          <w:szCs w:val="44"/>
        </w:rPr>
      </w:pP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br w:type="page"/>
      </w:r>
    </w:p>
    <w:p>
      <w:pPr>
        <w:jc w:val="both"/>
        <w:rPr>
          <w:rFonts w:hint="eastAsia" w:ascii="宋体" w:hAnsi="宋体" w:eastAsia="宋体" w:cs="宋体"/>
          <w:sz w:val="32"/>
          <w:szCs w:val="32"/>
        </w:rPr>
      </w:pPr>
    </w:p>
    <w:sdt>
      <w:sdt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id w:val="147473146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/>
          <w:kern w:val="2"/>
          <w:sz w:val="28"/>
          <w:szCs w:val="28"/>
          <w:lang w:val="en-US" w:eastAsia="zh-CN" w:bidi="ar-SA"/>
        </w:rPr>
      </w:sdtEndPr>
      <w:sdtContent>
        <w:p>
          <w:pPr>
            <w:jc w:val="center"/>
            <w:rPr>
              <w:rFonts w:hint="eastAsia" w:ascii="仿宋" w:hAnsi="仿宋" w:eastAsia="仿宋" w:cs="仿宋"/>
              <w:kern w:val="2"/>
              <w:sz w:val="21"/>
              <w:szCs w:val="28"/>
              <w:lang w:val="en-US" w:eastAsia="zh-CN" w:bidi="ar-SA"/>
            </w:rPr>
          </w:pPr>
          <w:r>
            <w:rPr>
              <w:rFonts w:hint="eastAsia" w:ascii="宋体" w:hAnsi="宋体" w:eastAsia="宋体" w:cs="宋体"/>
              <w:sz w:val="32"/>
              <w:szCs w:val="32"/>
            </w:rPr>
            <w:t>目录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TOC \o "1-2" \h \u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Cs w:val="28"/>
            </w:rPr>
            <w:instrText xml:space="preserve"> HYPERLINK \l _Toc28426 </w:instrText>
          </w:r>
          <w:r>
            <w:rPr>
              <w:rFonts w:hint="eastAsia" w:ascii="仿宋" w:hAnsi="仿宋" w:eastAsia="仿宋" w:cs="仿宋"/>
              <w:szCs w:val="28"/>
            </w:rPr>
            <w:fldChar w:fldCharType="separate"/>
          </w:r>
          <w:r>
            <w:rPr>
              <w:rFonts w:hint="eastAsia"/>
              <w:szCs w:val="44"/>
            </w:rPr>
            <w:t>矿业权交易</w:t>
          </w:r>
          <w:r>
            <w:rPr>
              <w:rFonts w:hint="eastAsia"/>
              <w:szCs w:val="44"/>
              <w:lang w:eastAsia="zh-CN"/>
            </w:rPr>
            <w:t>服务指南</w:t>
          </w:r>
          <w:r>
            <w:tab/>
          </w:r>
          <w:r>
            <w:fldChar w:fldCharType="begin"/>
          </w:r>
          <w:r>
            <w:instrText xml:space="preserve"> PAGEREF _Toc28426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8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Cs w:val="28"/>
            </w:rPr>
            <w:instrText xml:space="preserve"> HYPERLINK \l _Toc6658 </w:instrText>
          </w:r>
          <w:r>
            <w:rPr>
              <w:rFonts w:hint="eastAsia" w:ascii="仿宋" w:hAnsi="仿宋" w:eastAsia="仿宋" w:cs="仿宋"/>
              <w:szCs w:val="28"/>
            </w:rPr>
            <w:fldChar w:fldCharType="separate"/>
          </w:r>
          <w:r>
            <w:rPr>
              <w:rFonts w:hint="eastAsia"/>
              <w:lang w:val="en-US"/>
            </w:rPr>
            <w:t xml:space="preserve">一、 </w:t>
          </w:r>
          <w:r>
            <w:rPr>
              <w:rFonts w:hint="eastAsia"/>
              <w:lang w:val="en-US" w:eastAsia="zh-CN"/>
            </w:rPr>
            <w:t>使用准备</w:t>
          </w:r>
          <w:r>
            <w:tab/>
          </w:r>
          <w:r>
            <w:fldChar w:fldCharType="begin"/>
          </w:r>
          <w:r>
            <w:instrText xml:space="preserve"> PAGEREF _Toc6658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Cs w:val="28"/>
            </w:rPr>
            <w:instrText xml:space="preserve"> HYPERLINK \l _Toc18995 </w:instrText>
          </w:r>
          <w:r>
            <w:rPr>
              <w:rFonts w:hint="eastAsia" w:ascii="仿宋" w:hAnsi="仿宋" w:eastAsia="仿宋" w:cs="仿宋"/>
              <w:szCs w:val="28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24"/>
              <w:lang w:val="en-US" w:eastAsia="zh-CN"/>
            </w:rPr>
            <w:t xml:space="preserve">1.1 </w:t>
          </w:r>
          <w:r>
            <w:rPr>
              <w:rFonts w:hint="eastAsia" w:ascii="Times New Roman" w:hAnsi="Times New Roman" w:eastAsia="宋体" w:cs="Times New Roman"/>
              <w:szCs w:val="24"/>
              <w:lang w:val="en-US" w:eastAsia="zh-CN"/>
            </w:rPr>
            <w:t>电脑配置要求</w:t>
          </w:r>
          <w:r>
            <w:tab/>
          </w:r>
          <w:r>
            <w:fldChar w:fldCharType="begin"/>
          </w:r>
          <w:r>
            <w:instrText xml:space="preserve"> PAGEREF _Toc18995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Cs w:val="28"/>
            </w:rPr>
            <w:instrText xml:space="preserve"> HYPERLINK \l _Toc5694 </w:instrText>
          </w:r>
          <w:r>
            <w:rPr>
              <w:rFonts w:hint="eastAsia" w:ascii="仿宋" w:hAnsi="仿宋" w:eastAsia="仿宋" w:cs="仿宋"/>
              <w:szCs w:val="28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24"/>
              <w:lang w:eastAsia="zh-CN"/>
            </w:rPr>
            <w:t xml:space="preserve">1.2 </w:t>
          </w:r>
          <w:r>
            <w:rPr>
              <w:rFonts w:ascii="Times New Roman" w:hAnsi="Times New Roman" w:eastAsia="宋体" w:cs="Times New Roman"/>
              <w:szCs w:val="24"/>
            </w:rPr>
            <w:t>驱动下载与安装</w:t>
          </w:r>
          <w:r>
            <w:tab/>
          </w:r>
          <w:r>
            <w:fldChar w:fldCharType="begin"/>
          </w:r>
          <w:r>
            <w:instrText xml:space="preserve"> PAGEREF _Toc5694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Cs w:val="28"/>
            </w:rPr>
            <w:instrText xml:space="preserve"> HYPERLINK \l _Toc3187 </w:instrText>
          </w:r>
          <w:r>
            <w:rPr>
              <w:rFonts w:hint="eastAsia" w:ascii="仿宋" w:hAnsi="仿宋" w:eastAsia="仿宋" w:cs="仿宋"/>
              <w:szCs w:val="28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24"/>
              <w:lang w:eastAsia="zh-CN"/>
            </w:rPr>
            <w:t xml:space="preserve">1.3 </w:t>
          </w:r>
          <w:r>
            <w:rPr>
              <w:rFonts w:hint="eastAsia" w:ascii="Times New Roman" w:hAnsi="Times New Roman" w:eastAsia="宋体" w:cs="Times New Roman"/>
              <w:szCs w:val="24"/>
              <w:lang w:val="en-US" w:eastAsia="zh-CN"/>
            </w:rPr>
            <w:t>浏览器设置</w:t>
          </w:r>
          <w:r>
            <w:tab/>
          </w:r>
          <w:r>
            <w:fldChar w:fldCharType="begin"/>
          </w:r>
          <w:r>
            <w:instrText xml:space="preserve"> PAGEREF _Toc3187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Cs w:val="28"/>
            </w:rPr>
            <w:instrText xml:space="preserve"> HYPERLINK \l _Toc2631 </w:instrText>
          </w:r>
          <w:r>
            <w:rPr>
              <w:rFonts w:hint="eastAsia" w:ascii="仿宋" w:hAnsi="仿宋" w:eastAsia="仿宋" w:cs="仿宋"/>
              <w:szCs w:val="28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24"/>
              <w:lang w:eastAsia="zh-CN"/>
            </w:rPr>
            <w:t xml:space="preserve">1.4 </w:t>
          </w:r>
          <w:r>
            <w:rPr>
              <w:rFonts w:hint="eastAsia" w:ascii="Times New Roman" w:hAnsi="Times New Roman" w:eastAsia="宋体" w:cs="Times New Roman"/>
              <w:szCs w:val="24"/>
              <w:lang w:val="en-US" w:eastAsia="zh-CN"/>
            </w:rPr>
            <w:t>CA证书办理</w:t>
          </w:r>
          <w:r>
            <w:tab/>
          </w:r>
          <w:r>
            <w:fldChar w:fldCharType="begin"/>
          </w:r>
          <w:r>
            <w:instrText xml:space="preserve"> PAGEREF _Toc2631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8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Cs w:val="28"/>
            </w:rPr>
            <w:instrText xml:space="preserve"> HYPERLINK \l _Toc24872 </w:instrText>
          </w:r>
          <w:r>
            <w:rPr>
              <w:rFonts w:hint="eastAsia" w:ascii="仿宋" w:hAnsi="仿宋" w:eastAsia="仿宋" w:cs="仿宋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Cs w:val="28"/>
              <w:lang w:val="en-US"/>
            </w:rPr>
            <w:t xml:space="preserve">二、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_Toc24872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8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Cs w:val="28"/>
            </w:rPr>
            <w:instrText xml:space="preserve"> HYPERLINK \l _Toc22106 </w:instrText>
          </w:r>
          <w:r>
            <w:rPr>
              <w:rFonts w:hint="eastAsia" w:ascii="仿宋" w:hAnsi="仿宋" w:eastAsia="仿宋" w:cs="仿宋"/>
              <w:szCs w:val="28"/>
            </w:rPr>
            <w:fldChar w:fldCharType="separate"/>
          </w:r>
          <w:r>
            <w:rPr>
              <w:rFonts w:hint="eastAsia"/>
              <w:lang w:val="en-US"/>
            </w:rPr>
            <w:t xml:space="preserve">三、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业务操作</w:t>
          </w:r>
          <w:r>
            <w:tab/>
          </w:r>
          <w:r>
            <w:fldChar w:fldCharType="begin"/>
          </w:r>
          <w:r>
            <w:instrText xml:space="preserve"> PAGEREF _Toc22106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Cs w:val="28"/>
            </w:rPr>
            <w:instrText xml:space="preserve"> HYPERLINK \l _Toc2163 </w:instrText>
          </w:r>
          <w:r>
            <w:rPr>
              <w:rFonts w:hint="eastAsia" w:ascii="仿宋" w:hAnsi="仿宋" w:eastAsia="仿宋" w:cs="仿宋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</w:rPr>
            <w:t xml:space="preserve">3.1、 </w:t>
          </w:r>
          <w:r>
            <w:rPr>
              <w:rFonts w:hint="eastAsia"/>
              <w:lang w:val="en-US" w:eastAsia="zh-CN"/>
            </w:rPr>
            <w:t>项目受理</w:t>
          </w:r>
          <w:r>
            <w:tab/>
          </w:r>
          <w:r>
            <w:fldChar w:fldCharType="begin"/>
          </w:r>
          <w:r>
            <w:instrText xml:space="preserve"> PAGEREF _Toc2163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Cs w:val="28"/>
            </w:rPr>
            <w:instrText xml:space="preserve"> HYPERLINK \l _Toc32653 </w:instrText>
          </w:r>
          <w:r>
            <w:rPr>
              <w:rFonts w:hint="eastAsia" w:ascii="仿宋" w:hAnsi="仿宋" w:eastAsia="仿宋" w:cs="仿宋"/>
              <w:szCs w:val="28"/>
            </w:rPr>
            <w:fldChar w:fldCharType="separate"/>
          </w:r>
          <w:r>
            <w:rPr>
              <w:rFonts w:hint="default" w:ascii="Times New Roman" w:hAnsi="Times New Roman" w:eastAsia="仿宋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  <w:szCs w:val="28"/>
            </w:rPr>
            <w:t xml:space="preserve">3.2、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交易公告</w:t>
          </w:r>
          <w:r>
            <w:tab/>
          </w:r>
          <w:r>
            <w:fldChar w:fldCharType="begin"/>
          </w:r>
          <w:r>
            <w:instrText xml:space="preserve"> PAGEREF _Toc32653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Cs w:val="28"/>
            </w:rPr>
            <w:instrText xml:space="preserve"> HYPERLINK \l _Toc27324 </w:instrText>
          </w:r>
          <w:r>
            <w:rPr>
              <w:rFonts w:hint="eastAsia" w:ascii="仿宋" w:hAnsi="仿宋" w:eastAsia="仿宋" w:cs="仿宋"/>
              <w:szCs w:val="28"/>
            </w:rPr>
            <w:fldChar w:fldCharType="separate"/>
          </w:r>
          <w:r>
            <w:rPr>
              <w:rFonts w:hint="default" w:ascii="Times New Roman" w:hAnsi="Times New Roman" w:eastAsia="仿宋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  <w:szCs w:val="28"/>
            </w:rPr>
            <w:t xml:space="preserve">3.3、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资格审查</w:t>
          </w:r>
          <w:r>
            <w:tab/>
          </w:r>
          <w:r>
            <w:fldChar w:fldCharType="begin"/>
          </w:r>
          <w:r>
            <w:instrText xml:space="preserve"> PAGEREF _Toc27324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Cs w:val="28"/>
            </w:rPr>
            <w:instrText xml:space="preserve"> HYPERLINK \l _Toc3498 </w:instrText>
          </w:r>
          <w:r>
            <w:rPr>
              <w:rFonts w:hint="eastAsia" w:ascii="仿宋" w:hAnsi="仿宋" w:eastAsia="仿宋" w:cs="仿宋"/>
              <w:szCs w:val="28"/>
            </w:rPr>
            <w:fldChar w:fldCharType="separate"/>
          </w:r>
          <w:r>
            <w:rPr>
              <w:rFonts w:hint="default" w:ascii="Times New Roman" w:hAnsi="Times New Roman" w:eastAsia="仿宋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  <w:szCs w:val="28"/>
              <w:lang w:val="en-US" w:eastAsia="zh-CN"/>
            </w:rPr>
            <w:t xml:space="preserve">3.4、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交易服务费</w:t>
          </w:r>
          <w:r>
            <w:tab/>
          </w:r>
          <w:r>
            <w:fldChar w:fldCharType="begin"/>
          </w:r>
          <w:r>
            <w:instrText xml:space="preserve"> PAGEREF _Toc3498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Cs w:val="28"/>
            </w:rPr>
            <w:instrText xml:space="preserve"> HYPERLINK \l _Toc13729 </w:instrText>
          </w:r>
          <w:r>
            <w:rPr>
              <w:rFonts w:hint="eastAsia" w:ascii="仿宋" w:hAnsi="仿宋" w:eastAsia="仿宋" w:cs="仿宋"/>
              <w:szCs w:val="28"/>
            </w:rPr>
            <w:fldChar w:fldCharType="separate"/>
          </w:r>
          <w:r>
            <w:rPr>
              <w:rFonts w:hint="default" w:ascii="Times New Roman" w:hAnsi="Times New Roman" w:eastAsia="仿宋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  <w:szCs w:val="28"/>
              <w:lang w:val="en-US" w:eastAsia="zh-CN"/>
            </w:rPr>
            <w:t xml:space="preserve">3.5、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成交确认书</w:t>
          </w:r>
          <w:r>
            <w:tab/>
          </w:r>
          <w:r>
            <w:fldChar w:fldCharType="begin"/>
          </w:r>
          <w:r>
            <w:instrText xml:space="preserve"> PAGEREF _Toc13729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Cs w:val="28"/>
            </w:rPr>
            <w:instrText xml:space="preserve"> HYPERLINK \l _Toc4326 </w:instrText>
          </w:r>
          <w:r>
            <w:rPr>
              <w:rFonts w:hint="eastAsia" w:ascii="仿宋" w:hAnsi="仿宋" w:eastAsia="仿宋" w:cs="仿宋"/>
              <w:szCs w:val="28"/>
            </w:rPr>
            <w:fldChar w:fldCharType="separate"/>
          </w:r>
          <w:r>
            <w:rPr>
              <w:rFonts w:hint="default" w:ascii="Times New Roman" w:hAnsi="Times New Roman" w:eastAsia="仿宋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  <w:szCs w:val="28"/>
              <w:lang w:val="en-US" w:eastAsia="zh-CN"/>
            </w:rPr>
            <w:t xml:space="preserve">3.6、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成交结果公示</w:t>
          </w:r>
          <w:r>
            <w:tab/>
          </w:r>
          <w:r>
            <w:fldChar w:fldCharType="begin"/>
          </w:r>
          <w:r>
            <w:instrText xml:space="preserve"> PAGEREF _Toc4326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8"/>
            </w:rPr>
            <w:fldChar w:fldCharType="end"/>
          </w:r>
        </w:p>
        <w:p>
          <w:pPr>
            <w:jc w:val="both"/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Cs w:val="28"/>
            </w:rPr>
            <w:fldChar w:fldCharType="end"/>
          </w:r>
        </w:p>
      </w:sdtContent>
    </w:sdt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br w:type="page"/>
      </w:r>
    </w:p>
    <w:p>
      <w:pPr>
        <w:pStyle w:val="2"/>
        <w:bidi w:val="0"/>
      </w:pPr>
      <w:bookmarkStart w:id="3" w:name="_Toc10433"/>
      <w:bookmarkStart w:id="4" w:name="_Toc6658"/>
      <w:bookmarkStart w:id="5" w:name="_Toc97"/>
      <w:bookmarkStart w:id="6" w:name="_Toc27973"/>
      <w:bookmarkStart w:id="7" w:name="_Toc12062"/>
      <w:bookmarkStart w:id="8" w:name="_Toc23604"/>
      <w:bookmarkStart w:id="9" w:name="_Toc28142"/>
      <w:r>
        <w:rPr>
          <w:rFonts w:hint="eastAsia"/>
          <w:lang w:val="en-US" w:eastAsia="zh-CN"/>
        </w:rPr>
        <w:t>使用准备</w:t>
      </w:r>
      <w:bookmarkEnd w:id="3"/>
      <w:bookmarkEnd w:id="4"/>
    </w:p>
    <w:p>
      <w:pPr>
        <w:numPr>
          <w:ilvl w:val="1"/>
          <w:numId w:val="2"/>
        </w:numPr>
        <w:tabs>
          <w:tab w:val="left" w:pos="567"/>
        </w:tabs>
        <w:spacing w:line="360" w:lineRule="auto"/>
        <w:jc w:val="left"/>
        <w:outlineLvl w:val="1"/>
        <w:rPr>
          <w:rFonts w:hint="eastAsia" w:ascii="Times New Roman" w:hAnsi="Times New Roman" w:eastAsia="宋体" w:cs="Times New Roman"/>
          <w:sz w:val="30"/>
          <w:szCs w:val="24"/>
          <w:lang w:val="en-US" w:eastAsia="zh-CN"/>
        </w:rPr>
      </w:pPr>
      <w:bookmarkStart w:id="10" w:name="_Toc26408"/>
      <w:bookmarkStart w:id="11" w:name="_Toc18995"/>
      <w:bookmarkStart w:id="12" w:name="_Toc15248"/>
      <w:bookmarkStart w:id="13" w:name="_Toc517442119"/>
      <w:bookmarkStart w:id="14" w:name="_Toc521417682"/>
      <w:r>
        <w:rPr>
          <w:rFonts w:hint="eastAsia" w:ascii="Times New Roman" w:hAnsi="Times New Roman" w:eastAsia="宋体" w:cs="Times New Roman"/>
          <w:sz w:val="30"/>
          <w:szCs w:val="24"/>
          <w:lang w:val="en-US" w:eastAsia="zh-CN"/>
        </w:rPr>
        <w:t>电脑配置要求</w:t>
      </w:r>
      <w:bookmarkEnd w:id="10"/>
      <w:bookmarkEnd w:id="11"/>
    </w:p>
    <w:p>
      <w:pPr>
        <w:spacing w:line="360" w:lineRule="auto"/>
        <w:ind w:firstLine="360" w:firstLineChars="150"/>
        <w:jc w:val="left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建议使用Win</w:t>
      </w:r>
      <w:r>
        <w:rPr>
          <w:rFonts w:ascii="Times New Roman" w:hAnsi="Times New Roman" w:eastAsia="宋体" w:cs="Times New Roman"/>
          <w:sz w:val="24"/>
          <w:szCs w:val="24"/>
        </w:rPr>
        <w:t>1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sz w:val="24"/>
          <w:szCs w:val="24"/>
        </w:rPr>
        <w:t>操作系统；浏览器</w:t>
      </w:r>
      <w:r>
        <w:rPr>
          <w:rFonts w:hint="eastAsia" w:ascii="Times New Roman" w:hAnsi="Times New Roman" w:eastAsia="宋体" w:cs="Times New Roman"/>
          <w:b/>
          <w:color w:val="FF0000"/>
          <w:sz w:val="32"/>
          <w:szCs w:val="32"/>
        </w:rPr>
        <w:t>必须</w:t>
      </w:r>
      <w:r>
        <w:rPr>
          <w:rFonts w:hint="eastAsia" w:ascii="Times New Roman" w:hAnsi="Times New Roman" w:eastAsia="宋体" w:cs="Times New Roman"/>
          <w:sz w:val="24"/>
          <w:szCs w:val="24"/>
        </w:rPr>
        <w:t>使用IE</w:t>
      </w:r>
      <w:r>
        <w:rPr>
          <w:rFonts w:ascii="Times New Roman" w:hAnsi="Times New Roman" w:eastAsia="宋体" w:cs="Times New Roman"/>
          <w:sz w:val="24"/>
          <w:szCs w:val="24"/>
        </w:rPr>
        <w:t xml:space="preserve"> 11</w:t>
      </w:r>
      <w:r>
        <w:rPr>
          <w:rFonts w:hint="eastAsia" w:ascii="Times New Roman" w:hAnsi="Times New Roman" w:eastAsia="宋体" w:cs="Times New Roman"/>
          <w:sz w:val="24"/>
          <w:szCs w:val="24"/>
        </w:rPr>
        <w:t>版本。</w:t>
      </w:r>
    </w:p>
    <w:p>
      <w:pPr>
        <w:spacing w:line="360" w:lineRule="auto"/>
        <w:ind w:firstLine="0" w:firstLineChars="0"/>
        <w:jc w:val="left"/>
        <w:outlineLvl w:val="9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Cs w:val="24"/>
        </w:rPr>
        <w:drawing>
          <wp:inline distT="0" distB="0" distL="0" distR="0">
            <wp:extent cx="5274310" cy="2162810"/>
            <wp:effectExtent l="0" t="0" r="254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tabs>
          <w:tab w:val="left" w:pos="567"/>
        </w:tabs>
        <w:spacing w:line="360" w:lineRule="auto"/>
        <w:jc w:val="left"/>
        <w:outlineLvl w:val="1"/>
        <w:rPr>
          <w:rFonts w:hint="eastAsia" w:ascii="Times New Roman" w:hAnsi="Times New Roman" w:eastAsia="宋体" w:cs="Times New Roman"/>
          <w:sz w:val="30"/>
          <w:szCs w:val="24"/>
          <w:lang w:eastAsia="zh-CN"/>
        </w:rPr>
      </w:pPr>
      <w:bookmarkStart w:id="15" w:name="_Toc5694"/>
      <w:bookmarkStart w:id="16" w:name="_Toc8524"/>
      <w:r>
        <w:rPr>
          <w:rFonts w:ascii="Times New Roman" w:hAnsi="Times New Roman" w:eastAsia="宋体" w:cs="Times New Roman"/>
          <w:sz w:val="30"/>
          <w:szCs w:val="24"/>
        </w:rPr>
        <w:t>驱动下载与安装</w:t>
      </w:r>
      <w:bookmarkEnd w:id="12"/>
      <w:bookmarkEnd w:id="13"/>
      <w:bookmarkEnd w:id="14"/>
      <w:bookmarkEnd w:id="15"/>
      <w:bookmarkEnd w:id="16"/>
    </w:p>
    <w:p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登录湖南省公共资源交易中心网站</w:t>
      </w:r>
      <w:r>
        <w:rPr>
          <w:rFonts w:hint="eastAsia" w:ascii="Times New Roman" w:hAnsi="Times New Roman" w:eastAsia="宋体" w:cs="Times New Roman"/>
          <w:szCs w:val="24"/>
        </w:rPr>
        <w:t>（</w:t>
      </w:r>
      <w:r>
        <w:rPr>
          <w:rFonts w:ascii="Times New Roman" w:hAnsi="Times New Roman" w:eastAsia="宋体" w:cs="Times New Roman"/>
          <w:szCs w:val="24"/>
        </w:rPr>
        <w:t>http://ggzy.hunan.gov.cn/</w:t>
      </w:r>
      <w:r>
        <w:rPr>
          <w:rFonts w:hint="eastAsia" w:ascii="Times New Roman" w:hAnsi="Times New Roman" w:eastAsia="宋体" w:cs="Times New Roman"/>
          <w:szCs w:val="24"/>
        </w:rPr>
        <w:t>）-下载中心-</w:t>
      </w:r>
      <w:r>
        <w:rPr>
          <w:rFonts w:ascii="Times New Roman" w:hAnsi="Times New Roman" w:eastAsia="宋体" w:cs="Times New Roman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电子交易系统</w:t>
      </w:r>
      <w:r>
        <w:fldChar w:fldCharType="begin"/>
      </w:r>
      <w:r>
        <w:instrText xml:space="preserve"> HYPERLINK "https://www.bqpoint.com/redirect.html?target=download&amp;type=tp&amp;SourceFrom=Ztb&amp;ZtbSoftXiaQuCode=0306&amp;ZtbSoftType=DR" \t "_blank" \o "湖南CA驱动下载" </w:instrText>
      </w:r>
      <w:r>
        <w:fldChar w:fldCharType="separate"/>
      </w:r>
      <w:r>
        <w:rPr>
          <w:rFonts w:hint="eastAsia" w:ascii="Times New Roman" w:hAnsi="Times New Roman" w:eastAsia="宋体" w:cs="Times New Roman"/>
          <w:color w:val="C00000"/>
          <w:szCs w:val="24"/>
        </w:rPr>
        <w:t>CA</w:t>
      </w:r>
      <w:r>
        <w:rPr>
          <w:rFonts w:hint="eastAsia" w:ascii="Times New Roman" w:hAnsi="Times New Roman" w:eastAsia="宋体" w:cs="Times New Roman"/>
          <w:szCs w:val="24"/>
        </w:rPr>
        <w:t>驱动下载</w:t>
      </w:r>
      <w:r>
        <w:rPr>
          <w:rFonts w:hint="eastAsia" w:ascii="Times New Roman" w:hAnsi="Times New Roman" w:eastAsia="宋体" w:cs="Times New Roman"/>
          <w:szCs w:val="24"/>
        </w:rPr>
        <w:fldChar w:fldCharType="end"/>
      </w:r>
      <w:r>
        <w:rPr>
          <w:rFonts w:hint="eastAsia" w:ascii="Times New Roman" w:hAnsi="Times New Roman" w:eastAsia="宋体" w:cs="Times New Roman"/>
          <w:szCs w:val="24"/>
        </w:rPr>
        <w:t>，获取系统驱动安装包，</w:t>
      </w:r>
      <w:r>
        <w:rPr>
          <w:rFonts w:ascii="Times New Roman" w:hAnsi="Times New Roman" w:eastAsia="宋体" w:cs="Times New Roman"/>
          <w:szCs w:val="24"/>
        </w:rPr>
        <w:t>下载完成后右击</w:t>
      </w:r>
      <w:r>
        <w:rPr>
          <w:rFonts w:hint="eastAsia" w:ascii="Times New Roman" w:hAnsi="Times New Roman" w:eastAsia="宋体" w:cs="Times New Roman"/>
          <w:szCs w:val="24"/>
        </w:rPr>
        <w:t>“</w:t>
      </w:r>
      <w:r>
        <w:rPr>
          <w:rFonts w:ascii="Times New Roman" w:hAnsi="Times New Roman" w:eastAsia="宋体" w:cs="Times New Roman"/>
          <w:szCs w:val="24"/>
        </w:rPr>
        <w:t>以管理员身份运行</w:t>
      </w:r>
      <w:r>
        <w:rPr>
          <w:rFonts w:hint="eastAsia" w:ascii="Times New Roman" w:hAnsi="Times New Roman" w:eastAsia="宋体" w:cs="Times New Roman"/>
          <w:szCs w:val="24"/>
        </w:rPr>
        <w:t>”</w:t>
      </w:r>
      <w:r>
        <w:rPr>
          <w:rFonts w:ascii="Times New Roman" w:hAnsi="Times New Roman" w:eastAsia="宋体" w:cs="Times New Roman"/>
          <w:szCs w:val="24"/>
        </w:rPr>
        <w:t>安装</w:t>
      </w:r>
      <w:r>
        <w:rPr>
          <w:rFonts w:hint="eastAsia" w:ascii="Times New Roman" w:hAnsi="Times New Roman" w:eastAsia="宋体" w:cs="Times New Roman"/>
          <w:szCs w:val="24"/>
          <w:lang w:eastAsia="zh-CN"/>
        </w:rPr>
        <w:t>（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安装到默认路径</w:t>
      </w:r>
      <w:r>
        <w:rPr>
          <w:rFonts w:hint="eastAsia" w:ascii="Times New Roman" w:hAnsi="Times New Roman" w:eastAsia="宋体" w:cs="Times New Roman"/>
          <w:szCs w:val="24"/>
          <w:lang w:eastAsia="zh-CN"/>
        </w:rPr>
        <w:t>）</w:t>
      </w:r>
      <w:r>
        <w:rPr>
          <w:rFonts w:ascii="Times New Roman" w:hAnsi="Times New Roman" w:eastAsia="宋体" w:cs="Times New Roman"/>
          <w:szCs w:val="24"/>
        </w:rPr>
        <w:t>。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快速链接</w:t>
      </w:r>
      <w:r>
        <w:rPr>
          <w:rFonts w:hint="eastAsia" w:ascii="Times New Roman" w:hAnsi="Times New Roman" w:eastAsia="宋体" w:cs="Times New Roman"/>
          <w:szCs w:val="24"/>
        </w:rPr>
        <w:t>地址为：</w:t>
      </w:r>
      <w:r>
        <w:rPr>
          <w:rFonts w:hint="eastAsia"/>
        </w:rPr>
        <w:t>https://download.bqpoint.com/download/downloaddetail.html?SourceFrom=Ztb&amp;ZtbSoftXiaQuCode=0317&amp;ZtbSoftType=DR</w:t>
      </w:r>
    </w:p>
    <w:p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安装完成，插上ca锁，启动检测工具，进行CA</w:t>
      </w:r>
      <w:r>
        <w:rPr>
          <w:rFonts w:hint="eastAsia" w:ascii="Times New Roman" w:hAnsi="Times New Roman" w:eastAsia="宋体" w:cs="Times New Roman"/>
          <w:szCs w:val="24"/>
        </w:rPr>
        <w:t>证书检测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自检</w:t>
      </w:r>
      <w:r>
        <w:rPr>
          <w:rFonts w:hint="eastAsia" w:ascii="Times New Roman" w:hAnsi="Times New Roman" w:eastAsia="宋体" w:cs="Times New Roman"/>
          <w:szCs w:val="24"/>
        </w:rPr>
        <w:t>。</w:t>
      </w:r>
    </w:p>
    <w:p>
      <w:pPr>
        <w:spacing w:line="360" w:lineRule="auto"/>
        <w:ind w:firstLine="0" w:firstLineChars="0"/>
        <w:jc w:val="left"/>
        <w:rPr>
          <w:rFonts w:hint="eastAsia" w:ascii="Times New Roman" w:hAnsi="Times New Roman" w:eastAsia="宋体" w:cs="Times New Roman"/>
          <w:szCs w:val="24"/>
        </w:rPr>
      </w:pPr>
      <w:r>
        <w:drawing>
          <wp:inline distT="0" distB="0" distL="0" distR="0">
            <wp:extent cx="5274310" cy="2820670"/>
            <wp:effectExtent l="0" t="0" r="254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tabs>
          <w:tab w:val="left" w:pos="567"/>
        </w:tabs>
        <w:spacing w:line="360" w:lineRule="auto"/>
        <w:jc w:val="left"/>
        <w:outlineLvl w:val="1"/>
        <w:rPr>
          <w:rFonts w:hint="eastAsia" w:ascii="Times New Roman" w:hAnsi="Times New Roman" w:eastAsia="宋体" w:cs="Times New Roman"/>
          <w:sz w:val="30"/>
          <w:szCs w:val="24"/>
          <w:lang w:eastAsia="zh-CN"/>
        </w:rPr>
      </w:pPr>
      <w:bookmarkStart w:id="17" w:name="_Toc3334"/>
      <w:bookmarkStart w:id="18" w:name="_Toc3187"/>
      <w:r>
        <w:rPr>
          <w:rFonts w:hint="eastAsia" w:ascii="Times New Roman" w:hAnsi="Times New Roman" w:eastAsia="宋体" w:cs="Times New Roman"/>
          <w:sz w:val="30"/>
          <w:szCs w:val="24"/>
          <w:lang w:val="en-US" w:eastAsia="zh-CN"/>
        </w:rPr>
        <w:t>浏览器设置</w:t>
      </w:r>
      <w:bookmarkEnd w:id="17"/>
      <w:bookmarkEnd w:id="18"/>
    </w:p>
    <w:p>
      <w:pPr>
        <w:bidi w:val="0"/>
      </w:pPr>
      <w:r>
        <w:rPr>
          <w:rFonts w:hint="eastAsia"/>
          <w:lang w:val="en-US" w:eastAsia="zh-CN"/>
        </w:rPr>
        <w:t>启动IE浏览器，</w:t>
      </w:r>
      <w:r>
        <w:rPr>
          <w:rFonts w:hint="eastAsia"/>
        </w:rPr>
        <w:t>将网站添加到兼容性设置中，如下图：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66055" cy="2628265"/>
            <wp:effectExtent l="0" t="0" r="10795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b="537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28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在“工具”菜单→“Internet选项”，如下图：</w:t>
      </w:r>
    </w:p>
    <w:p>
      <w:pPr>
        <w:jc w:val="center"/>
        <w:rPr>
          <w:rFonts w:ascii="仿宋" w:hAnsi="仿宋" w:eastAsia="仿宋"/>
          <w:spacing w:val="4"/>
          <w:sz w:val="32"/>
          <w:szCs w:val="32"/>
        </w:rPr>
      </w:pPr>
      <w:r>
        <w:rPr>
          <w:rFonts w:ascii="仿宋" w:hAnsi="仿宋" w:eastAsia="仿宋"/>
          <w:spacing w:val="4"/>
          <w:sz w:val="32"/>
          <w:szCs w:val="32"/>
        </w:rPr>
        <w:drawing>
          <wp:inline distT="0" distB="0" distL="0" distR="0">
            <wp:extent cx="3331845" cy="2994025"/>
            <wp:effectExtent l="0" t="0" r="190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"/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弹出对话框之后，请选择“安全”选项卡，具体的界面，如下图：</w:t>
      </w:r>
    </w:p>
    <w:p>
      <w:pPr>
        <w:jc w:val="center"/>
        <w:rPr>
          <w:rFonts w:ascii="仿宋" w:hAnsi="仿宋" w:eastAsia="仿宋"/>
          <w:spacing w:val="4"/>
          <w:sz w:val="32"/>
          <w:szCs w:val="32"/>
        </w:rPr>
      </w:pPr>
      <w:r>
        <w:rPr>
          <w:rFonts w:ascii="仿宋" w:hAnsi="仿宋" w:eastAsia="仿宋"/>
          <w:spacing w:val="4"/>
          <w:sz w:val="32"/>
          <w:szCs w:val="32"/>
        </w:rPr>
        <w:drawing>
          <wp:inline distT="0" distB="0" distL="0" distR="0">
            <wp:extent cx="2414270" cy="2879725"/>
            <wp:effectExtent l="0" t="0" r="508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点击绿色的“受信任的站点”的图片，如下图：</w:t>
      </w:r>
    </w:p>
    <w:p>
      <w:pPr>
        <w:jc w:val="center"/>
        <w:rPr>
          <w:rFonts w:ascii="仿宋" w:hAnsi="仿宋" w:eastAsia="仿宋"/>
          <w:spacing w:val="4"/>
          <w:sz w:val="32"/>
          <w:szCs w:val="32"/>
        </w:rPr>
      </w:pPr>
      <w:r>
        <w:rPr>
          <w:rFonts w:ascii="仿宋" w:hAnsi="仿宋" w:eastAsia="仿宋"/>
          <w:spacing w:val="4"/>
          <w:sz w:val="32"/>
          <w:szCs w:val="32"/>
        </w:rPr>
        <w:drawing>
          <wp:inline distT="0" distB="0" distL="0" distR="0">
            <wp:extent cx="2416810" cy="2879725"/>
            <wp:effectExtent l="0" t="0" r="2540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74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点击“站点”按钮，出现如下对话框，将网站加入可信任站点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rFonts w:ascii="仿宋" w:hAnsi="仿宋" w:eastAsia="仿宋"/>
          <w:spacing w:val="4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2547620" cy="2339975"/>
            <wp:effectExtent l="0" t="0" r="5080" b="3175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设置自定义安全级别，开放Activex的访问权限，如下图：</w:t>
      </w:r>
    </w:p>
    <w:p>
      <w:pPr>
        <w:jc w:val="center"/>
        <w:rPr>
          <w:rFonts w:ascii="仿宋" w:hAnsi="仿宋" w:eastAsia="仿宋"/>
          <w:spacing w:val="4"/>
          <w:sz w:val="32"/>
          <w:szCs w:val="32"/>
        </w:rPr>
      </w:pPr>
      <w:r>
        <w:rPr>
          <w:rFonts w:ascii="仿宋" w:hAnsi="仿宋" w:eastAsia="仿宋"/>
          <w:spacing w:val="4"/>
          <w:sz w:val="32"/>
          <w:szCs w:val="32"/>
        </w:rPr>
        <w:drawing>
          <wp:inline distT="0" distB="0" distL="0" distR="0">
            <wp:extent cx="2450465" cy="2743835"/>
            <wp:effectExtent l="0" t="0" r="6985" b="184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把其中的Activex控件和插件的设置全部改为启用，如下图：</w:t>
      </w:r>
    </w:p>
    <w:p>
      <w:pPr>
        <w:jc w:val="center"/>
        <w:rPr>
          <w:rFonts w:ascii="仿宋" w:hAnsi="仿宋" w:eastAsia="仿宋"/>
          <w:spacing w:val="4"/>
          <w:sz w:val="32"/>
          <w:szCs w:val="32"/>
        </w:rPr>
      </w:pPr>
      <w:r>
        <w:rPr>
          <w:rFonts w:ascii="仿宋" w:hAnsi="仿宋" w:eastAsia="仿宋"/>
          <w:spacing w:val="4"/>
          <w:sz w:val="32"/>
          <w:szCs w:val="32"/>
        </w:rPr>
        <w:drawing>
          <wp:inline distT="0" distB="0" distL="0" distR="0">
            <wp:extent cx="2730500" cy="2770505"/>
            <wp:effectExtent l="0" t="0" r="12700" b="10795"/>
            <wp:docPr id="4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3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文件下载设置，开放文件下载的权限：设置为启用，如下图：</w:t>
      </w:r>
    </w:p>
    <w:p>
      <w:pPr>
        <w:jc w:val="center"/>
        <w:rPr>
          <w:rFonts w:ascii="仿宋" w:hAnsi="仿宋" w:eastAsia="仿宋"/>
          <w:spacing w:val="4"/>
          <w:sz w:val="32"/>
          <w:szCs w:val="32"/>
        </w:rPr>
      </w:pPr>
      <w:r>
        <w:rPr>
          <w:rFonts w:ascii="仿宋" w:hAnsi="仿宋" w:eastAsia="仿宋"/>
          <w:spacing w:val="4"/>
          <w:sz w:val="32"/>
          <w:szCs w:val="32"/>
        </w:rPr>
        <w:drawing>
          <wp:inline distT="0" distB="0" distL="0" distR="0">
            <wp:extent cx="2738755" cy="2443480"/>
            <wp:effectExtent l="0" t="0" r="4445" b="139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1"/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关闭拦截工具，如下图</w:t>
      </w:r>
    </w:p>
    <w:p>
      <w:pPr>
        <w:jc w:val="center"/>
        <w:rPr>
          <w:rFonts w:ascii="仿宋" w:hAnsi="仿宋" w:eastAsia="仿宋"/>
          <w:spacing w:val="4"/>
          <w:sz w:val="32"/>
          <w:szCs w:val="32"/>
        </w:rPr>
      </w:pPr>
      <w:r>
        <w:rPr>
          <w:rFonts w:ascii="仿宋" w:hAnsi="仿宋" w:eastAsia="仿宋"/>
          <w:spacing w:val="4"/>
          <w:sz w:val="32"/>
          <w:szCs w:val="32"/>
        </w:rPr>
        <w:drawing>
          <wp:inline distT="0" distB="0" distL="0" distR="0">
            <wp:extent cx="3729355" cy="1701165"/>
            <wp:effectExtent l="0" t="0" r="4445" b="133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</w:p>
    <w:p>
      <w:pPr>
        <w:numPr>
          <w:ilvl w:val="1"/>
          <w:numId w:val="2"/>
        </w:numPr>
        <w:tabs>
          <w:tab w:val="left" w:pos="567"/>
        </w:tabs>
        <w:spacing w:line="360" w:lineRule="auto"/>
        <w:jc w:val="left"/>
        <w:outlineLvl w:val="1"/>
        <w:rPr>
          <w:rFonts w:hint="eastAsia" w:ascii="Times New Roman" w:hAnsi="Times New Roman" w:eastAsia="宋体" w:cs="Times New Roman"/>
          <w:sz w:val="30"/>
          <w:szCs w:val="24"/>
          <w:lang w:eastAsia="zh-CN"/>
        </w:rPr>
      </w:pPr>
      <w:bookmarkStart w:id="19" w:name="_Toc20505"/>
      <w:bookmarkStart w:id="20" w:name="_Toc2631"/>
      <w:r>
        <w:rPr>
          <w:rFonts w:hint="eastAsia" w:ascii="Times New Roman" w:hAnsi="Times New Roman" w:eastAsia="宋体" w:cs="Times New Roman"/>
          <w:sz w:val="30"/>
          <w:szCs w:val="24"/>
          <w:lang w:val="en-US" w:eastAsia="zh-CN"/>
        </w:rPr>
        <w:t>CA证书办理</w:t>
      </w:r>
      <w:bookmarkEnd w:id="19"/>
      <w:bookmarkEnd w:id="20"/>
    </w:p>
    <w:p>
      <w:pPr>
        <w:bidi w:val="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咨询客服电话</w:t>
      </w:r>
      <w:r>
        <w:rPr>
          <w:rFonts w:hint="eastAsia"/>
          <w:lang w:eastAsia="zh-CN"/>
        </w:rPr>
        <w:t>：</w:t>
      </w:r>
    </w:p>
    <w:p>
      <w:pPr>
        <w:ind w:left="0" w:firstLine="0" w:firstLineChars="0"/>
      </w:pPr>
      <w:r>
        <w:drawing>
          <wp:inline distT="0" distB="0" distL="114300" distR="114300">
            <wp:extent cx="2352675" cy="76200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bookmarkEnd w:id="6"/>
    <w:bookmarkEnd w:id="7"/>
    <w:bookmarkEnd w:id="8"/>
    <w:bookmarkEnd w:id="9"/>
    <w:p>
      <w:pPr>
        <w:pStyle w:val="2"/>
        <w:bidi w:val="0"/>
        <w:rPr>
          <w:rFonts w:hint="eastAsia" w:ascii="仿宋" w:hAnsi="仿宋" w:eastAsia="仿宋" w:cs="仿宋"/>
          <w:sz w:val="28"/>
          <w:szCs w:val="28"/>
        </w:rPr>
      </w:pPr>
      <w:bookmarkStart w:id="21" w:name="_Toc24872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系统登录</w:t>
      </w:r>
      <w:bookmarkEnd w:id="21"/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打开湖南省公共资源交易中心综合管理平台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instrText xml:space="preserve"> HYPERLINK "http://hnsdzjy.com/tpframe/customframe4bid/login" </w:instrTex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Style w:val="26"/>
          <w:rFonts w:hint="eastAsia" w:ascii="仿宋" w:hAnsi="仿宋" w:eastAsia="仿宋" w:cs="仿宋"/>
          <w:sz w:val="28"/>
          <w:szCs w:val="28"/>
          <w:lang w:val="en-US" w:eastAsia="zh-CN"/>
        </w:rPr>
        <w:t>http://hnsdzjy.com/tpframe/customframe4bid/login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end"/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输入中心工作人员账号密码登录</w:t>
      </w: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2282190"/>
            <wp:effectExtent l="0" t="0" r="4445" b="381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</w:rPr>
      </w:pPr>
      <w:bookmarkStart w:id="22" w:name="_Toc22106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业务操作</w:t>
      </w:r>
      <w:bookmarkEnd w:id="22"/>
    </w:p>
    <w:p>
      <w:pPr>
        <w:pStyle w:val="3"/>
        <w:bidi w:val="0"/>
        <w:ind w:left="0" w:leftChars="0" w:firstLine="0" w:firstLineChars="0"/>
        <w:rPr>
          <w:rFonts w:hint="eastAsia"/>
        </w:rPr>
      </w:pPr>
      <w:bookmarkStart w:id="23" w:name="_Toc2163"/>
      <w:r>
        <w:rPr>
          <w:rFonts w:hint="eastAsia"/>
          <w:lang w:val="en-US" w:eastAsia="zh-CN"/>
        </w:rPr>
        <w:t>项目受理</w:t>
      </w:r>
      <w:bookmarkEnd w:id="23"/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审核流程：</w:t>
      </w:r>
    </w:p>
    <w:p>
      <w:pPr>
        <w:rPr>
          <w:rFonts w:hint="eastAsia"/>
        </w:rPr>
      </w:pPr>
      <w:r>
        <w:drawing>
          <wp:inline distT="0" distB="0" distL="114300" distR="114300">
            <wp:extent cx="5271135" cy="1469390"/>
            <wp:effectExtent l="0" t="0" r="12065" b="381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方式一：国土资源-采矿权交易-项目受理，点击对应待审核的项目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方式二：或者通过点击右上角的代办提醒，点击具体事项进入审核页面</w:t>
      </w: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方式一截图：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5420" cy="2023745"/>
            <wp:effectExtent l="0" t="0" r="5080" b="825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方式二截图：</w:t>
      </w:r>
    </w:p>
    <w:p>
      <w:r>
        <w:drawing>
          <wp:inline distT="0" distB="0" distL="114300" distR="114300">
            <wp:extent cx="5262880" cy="1922145"/>
            <wp:effectExtent l="0" t="0" r="7620" b="825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审核页面：选择同意或退回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066290"/>
            <wp:effectExtent l="0" t="0" r="10160" b="381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 w:ascii="仿宋" w:hAnsi="仿宋" w:eastAsia="仿宋" w:cs="仿宋"/>
          <w:sz w:val="28"/>
          <w:szCs w:val="28"/>
        </w:rPr>
      </w:pPr>
      <w:bookmarkStart w:id="24" w:name="_Toc32653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交易公告</w:t>
      </w:r>
      <w:bookmarkEnd w:id="24"/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审核流程：</w:t>
      </w: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040" cy="639445"/>
            <wp:effectExtent l="0" t="0" r="1016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选择国土资源交易-采矿权交易-公告期-交易公告</w:t>
      </w: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点击新增交易公告：</w:t>
      </w:r>
    </w:p>
    <w:p>
      <w:r>
        <w:drawing>
          <wp:inline distT="0" distB="0" distL="114300" distR="114300">
            <wp:extent cx="5269230" cy="2056130"/>
            <wp:effectExtent l="0" t="0" r="1270" b="127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编辑基本信息：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3040" cy="2096770"/>
            <wp:effectExtent l="0" t="0" r="10160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完善基本信息后选择要发布公告的项目，点击编辑按钮进入公告的详细编辑页面</w:t>
      </w:r>
    </w:p>
    <w:p>
      <w:r>
        <w:drawing>
          <wp:inline distT="0" distB="0" distL="114300" distR="114300">
            <wp:extent cx="5264150" cy="2075815"/>
            <wp:effectExtent l="0" t="0" r="6350" b="698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2132330"/>
            <wp:effectExtent l="0" t="0" r="7620" b="127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设置项目基本信息：</w:t>
      </w:r>
    </w:p>
    <w:p>
      <w:r>
        <w:drawing>
          <wp:inline distT="0" distB="0" distL="114300" distR="114300">
            <wp:extent cx="5271135" cy="2048510"/>
            <wp:effectExtent l="0" t="0" r="12065" b="889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完善项目信息后，点击生成公告内容，系统根据设置的项目信息自动生成公告内容，再点击生成公告附件，系统将生成的公告内容形成word文档，随公告发布作为附件一同挂网。</w:t>
      </w:r>
    </w:p>
    <w:p>
      <w:r>
        <w:drawing>
          <wp:inline distT="0" distB="0" distL="114300" distR="114300">
            <wp:extent cx="5269865" cy="2136775"/>
            <wp:effectExtent l="0" t="0" r="635" b="9525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补充项目附件后，可提交审核。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104390"/>
            <wp:effectExtent l="0" t="0" r="12065" b="3810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 w:ascii="仿宋" w:hAnsi="仿宋" w:eastAsia="仿宋" w:cs="仿宋"/>
          <w:sz w:val="28"/>
          <w:szCs w:val="28"/>
        </w:rPr>
      </w:pPr>
      <w:bookmarkStart w:id="25" w:name="_Toc27324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资格审查</w:t>
      </w:r>
      <w:bookmarkEnd w:id="25"/>
    </w:p>
    <w:p>
      <w:pPr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资格审查人员通过菜单进入资格审查页面：</w:t>
      </w:r>
    </w:p>
    <w:p>
      <w:r>
        <w:drawing>
          <wp:inline distT="0" distB="0" distL="114300" distR="114300">
            <wp:extent cx="5273040" cy="2157095"/>
            <wp:effectExtent l="0" t="0" r="10160" b="190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审核竞买单位的资格审查材料：</w:t>
      </w:r>
    </w:p>
    <w:p>
      <w:r>
        <w:drawing>
          <wp:inline distT="0" distB="0" distL="114300" distR="114300">
            <wp:extent cx="5266055" cy="1846580"/>
            <wp:effectExtent l="0" t="0" r="4445" b="762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审核人员输入审核意见，并点击确认同意或不同意，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同意后则竞买单位有竞买资格，可参与后续的竞价，</w:t>
      </w: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不同意则竞买单位无竞买资格，不可参与后续的竞价。</w:t>
      </w:r>
    </w:p>
    <w:p>
      <w:r>
        <w:drawing>
          <wp:inline distT="0" distB="0" distL="114300" distR="114300">
            <wp:extent cx="5274310" cy="2143125"/>
            <wp:effectExtent l="0" t="0" r="8890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371725"/>
            <wp:effectExtent l="0" t="0" r="10160" b="3175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bookmarkStart w:id="26" w:name="_Toc3498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交易服务费</w:t>
      </w:r>
      <w:bookmarkEnd w:id="26"/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审核流程：</w:t>
      </w:r>
    </w:p>
    <w:p>
      <w:r>
        <w:drawing>
          <wp:inline distT="0" distB="0" distL="114300" distR="114300">
            <wp:extent cx="5267325" cy="2463800"/>
            <wp:effectExtent l="0" t="0" r="3175" b="0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方式一：国土资源-采矿权交易-缴纳交易服务费，点击对应待审核的项目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方式二：或者通过点击右上角的代办提醒，点击具体事项进入审核页面</w:t>
      </w:r>
    </w:p>
    <w:p/>
    <w:p>
      <w:pPr>
        <w:rPr>
          <w:rFonts w:hint="default" w:eastAsiaTheme="minorEastAsia"/>
          <w:lang w:val="en-US" w:eastAsia="zh-CN"/>
        </w:rPr>
      </w:pPr>
    </w:p>
    <w:p/>
    <w:p/>
    <w:p/>
    <w:p/>
    <w:p/>
    <w:p>
      <w:r>
        <w:drawing>
          <wp:inline distT="0" distB="0" distL="114300" distR="114300">
            <wp:extent cx="5271135" cy="2125345"/>
            <wp:effectExtent l="0" t="0" r="12065" b="8255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1946910"/>
            <wp:effectExtent l="0" t="0" r="952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交易服务费页面可以查看竞得人收件地址</w:t>
      </w:r>
    </w:p>
    <w:p>
      <w:r>
        <w:drawing>
          <wp:inline distT="0" distB="0" distL="114300" distR="114300">
            <wp:extent cx="5270500" cy="2932430"/>
            <wp:effectExtent l="0" t="0" r="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bookmarkStart w:id="27" w:name="_Toc13729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成交确认书</w:t>
      </w:r>
      <w:bookmarkEnd w:id="27"/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审核流程：</w:t>
      </w:r>
    </w:p>
    <w:p>
      <w:r>
        <w:drawing>
          <wp:inline distT="0" distB="0" distL="114300" distR="114300">
            <wp:extent cx="5271135" cy="2058035"/>
            <wp:effectExtent l="0" t="0" r="12065" b="1206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承办人选择国土资源交易-采矿权交易-交易结束-成交确认书-新建文件</w:t>
      </w:r>
    </w:p>
    <w:p>
      <w:r>
        <w:drawing>
          <wp:inline distT="0" distB="0" distL="114300" distR="114300">
            <wp:extent cx="5266690" cy="2142490"/>
            <wp:effectExtent l="0" t="0" r="3810" b="3810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点击生成确认书，系统根据成交信息自动生成内容，也可以复制粘贴文本进入编辑框。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点击生成word附件，将编辑框内的文本内容生成word文件。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040" cy="2074545"/>
            <wp:effectExtent l="0" t="0" r="10160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  <w:bidi w:val="0"/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28" w:name="_Toc4326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成交结果公示</w:t>
      </w:r>
      <w:bookmarkEnd w:id="28"/>
    </w:p>
    <w:p>
      <w:pPr>
        <w:jc w:val="left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审核流程：</w:t>
      </w:r>
      <w:r>
        <w:drawing>
          <wp:inline distT="0" distB="0" distL="114300" distR="114300">
            <wp:extent cx="5269230" cy="2009775"/>
            <wp:effectExtent l="0" t="0" r="1270" b="9525"/>
            <wp:docPr id="4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承办人选择国土资源交易-采矿权交易-交易结束-成交结果公示-新建</w:t>
      </w:r>
    </w:p>
    <w:p>
      <w:pPr>
        <w:jc w:val="left"/>
      </w:pPr>
      <w:r>
        <w:drawing>
          <wp:inline distT="0" distB="0" distL="114300" distR="114300">
            <wp:extent cx="5273675" cy="2067560"/>
            <wp:effectExtent l="0" t="0" r="9525" b="2540"/>
            <wp:docPr id="4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挑选项目进入编辑页面，点击生成公告内容，系统根据成交信息生成公示内容，点击生成word附件将内容自动转成word文档，作为附件随成交结果公示一并挂网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089785"/>
            <wp:effectExtent l="0" t="0" r="10795" b="571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ctionIcon ! importa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CD9804"/>
    <w:multiLevelType w:val="multilevel"/>
    <w:tmpl w:val="05CD9804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i w:val="0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VjYThiY2M0NTJiMzNjNzFlZWFlNzAzOWZmNTYxZjUifQ=="/>
  </w:docVars>
  <w:rsids>
    <w:rsidRoot w:val="00BA0993"/>
    <w:rsid w:val="00006F04"/>
    <w:rsid w:val="000B2062"/>
    <w:rsid w:val="000C0486"/>
    <w:rsid w:val="001048D4"/>
    <w:rsid w:val="00137FAA"/>
    <w:rsid w:val="00203834"/>
    <w:rsid w:val="00261E03"/>
    <w:rsid w:val="002637EC"/>
    <w:rsid w:val="0031308A"/>
    <w:rsid w:val="00317D5E"/>
    <w:rsid w:val="00370054"/>
    <w:rsid w:val="003A4F46"/>
    <w:rsid w:val="004434CD"/>
    <w:rsid w:val="00493D08"/>
    <w:rsid w:val="00524E60"/>
    <w:rsid w:val="00570D01"/>
    <w:rsid w:val="00574FF9"/>
    <w:rsid w:val="005A44E9"/>
    <w:rsid w:val="005B68A8"/>
    <w:rsid w:val="005E324C"/>
    <w:rsid w:val="00675DB4"/>
    <w:rsid w:val="00680BD9"/>
    <w:rsid w:val="006B2E59"/>
    <w:rsid w:val="00703524"/>
    <w:rsid w:val="00706837"/>
    <w:rsid w:val="00755B02"/>
    <w:rsid w:val="00762437"/>
    <w:rsid w:val="00780120"/>
    <w:rsid w:val="007A117C"/>
    <w:rsid w:val="007D359C"/>
    <w:rsid w:val="00806FF6"/>
    <w:rsid w:val="008145D3"/>
    <w:rsid w:val="00831552"/>
    <w:rsid w:val="00AA0C37"/>
    <w:rsid w:val="00AC60DE"/>
    <w:rsid w:val="00B62B4D"/>
    <w:rsid w:val="00BA0993"/>
    <w:rsid w:val="00C839BE"/>
    <w:rsid w:val="00CA7B9C"/>
    <w:rsid w:val="00D779B5"/>
    <w:rsid w:val="00D83F93"/>
    <w:rsid w:val="00DC727E"/>
    <w:rsid w:val="00DE243B"/>
    <w:rsid w:val="00E237C2"/>
    <w:rsid w:val="00EB5243"/>
    <w:rsid w:val="00F02E86"/>
    <w:rsid w:val="00F47DC6"/>
    <w:rsid w:val="00FA26BB"/>
    <w:rsid w:val="00FB600A"/>
    <w:rsid w:val="00FE7888"/>
    <w:rsid w:val="00FF3422"/>
    <w:rsid w:val="04673D9F"/>
    <w:rsid w:val="04D42AAB"/>
    <w:rsid w:val="07C10826"/>
    <w:rsid w:val="097B0B7E"/>
    <w:rsid w:val="09B67AC4"/>
    <w:rsid w:val="09CE4F7E"/>
    <w:rsid w:val="0A61573C"/>
    <w:rsid w:val="0BC3400A"/>
    <w:rsid w:val="0E450857"/>
    <w:rsid w:val="0F2A0D9B"/>
    <w:rsid w:val="0FBC793C"/>
    <w:rsid w:val="10853E2D"/>
    <w:rsid w:val="12731B93"/>
    <w:rsid w:val="14006B0F"/>
    <w:rsid w:val="14E20CAD"/>
    <w:rsid w:val="150C7E6E"/>
    <w:rsid w:val="15DC4F2E"/>
    <w:rsid w:val="162A59B3"/>
    <w:rsid w:val="17393F01"/>
    <w:rsid w:val="179E7916"/>
    <w:rsid w:val="182347F9"/>
    <w:rsid w:val="18245CDA"/>
    <w:rsid w:val="184B770B"/>
    <w:rsid w:val="19A5474A"/>
    <w:rsid w:val="1AA17E76"/>
    <w:rsid w:val="1CC173C2"/>
    <w:rsid w:val="1D280067"/>
    <w:rsid w:val="1DCA6AD1"/>
    <w:rsid w:val="1E8A4908"/>
    <w:rsid w:val="1F2160C4"/>
    <w:rsid w:val="1F4F4BD2"/>
    <w:rsid w:val="1FF20FAE"/>
    <w:rsid w:val="226C345C"/>
    <w:rsid w:val="22911B36"/>
    <w:rsid w:val="23B807ED"/>
    <w:rsid w:val="25287DC2"/>
    <w:rsid w:val="252C08C4"/>
    <w:rsid w:val="25FA0F65"/>
    <w:rsid w:val="26161BA2"/>
    <w:rsid w:val="27A159AD"/>
    <w:rsid w:val="287A5E0A"/>
    <w:rsid w:val="28DA6D9E"/>
    <w:rsid w:val="28EC7EDD"/>
    <w:rsid w:val="29655DB0"/>
    <w:rsid w:val="29A206EB"/>
    <w:rsid w:val="29A3473A"/>
    <w:rsid w:val="2BB13AFD"/>
    <w:rsid w:val="2C32033A"/>
    <w:rsid w:val="2D2D2B9A"/>
    <w:rsid w:val="2EA412E6"/>
    <w:rsid w:val="2EFA0ABB"/>
    <w:rsid w:val="2F6C3721"/>
    <w:rsid w:val="3134176A"/>
    <w:rsid w:val="317966F4"/>
    <w:rsid w:val="31AA0FA5"/>
    <w:rsid w:val="33DC2F46"/>
    <w:rsid w:val="34A53446"/>
    <w:rsid w:val="350F73E8"/>
    <w:rsid w:val="352A2B85"/>
    <w:rsid w:val="3569521C"/>
    <w:rsid w:val="36156591"/>
    <w:rsid w:val="37246325"/>
    <w:rsid w:val="37F10EF0"/>
    <w:rsid w:val="384B1867"/>
    <w:rsid w:val="3AC45E72"/>
    <w:rsid w:val="3B8E3258"/>
    <w:rsid w:val="3BAF793D"/>
    <w:rsid w:val="3CA7071D"/>
    <w:rsid w:val="3EDE27D7"/>
    <w:rsid w:val="3FCC6AD3"/>
    <w:rsid w:val="41517F7B"/>
    <w:rsid w:val="43795F3E"/>
    <w:rsid w:val="44C804A0"/>
    <w:rsid w:val="44D01E0B"/>
    <w:rsid w:val="45AC03F8"/>
    <w:rsid w:val="46D76CB4"/>
    <w:rsid w:val="47535F40"/>
    <w:rsid w:val="477D340C"/>
    <w:rsid w:val="4A6055A2"/>
    <w:rsid w:val="4AB009A2"/>
    <w:rsid w:val="4B057175"/>
    <w:rsid w:val="4B7414DB"/>
    <w:rsid w:val="4B8C3BB8"/>
    <w:rsid w:val="4FA25A6E"/>
    <w:rsid w:val="506A0514"/>
    <w:rsid w:val="53585A6F"/>
    <w:rsid w:val="5380356D"/>
    <w:rsid w:val="540208BE"/>
    <w:rsid w:val="54F15B76"/>
    <w:rsid w:val="551C3527"/>
    <w:rsid w:val="55721B0D"/>
    <w:rsid w:val="55896605"/>
    <w:rsid w:val="57ED7E5A"/>
    <w:rsid w:val="58B44FC5"/>
    <w:rsid w:val="5D3A42B1"/>
    <w:rsid w:val="5E0E2C5F"/>
    <w:rsid w:val="61AD3862"/>
    <w:rsid w:val="632B4938"/>
    <w:rsid w:val="646F64A9"/>
    <w:rsid w:val="64752769"/>
    <w:rsid w:val="64CC26CC"/>
    <w:rsid w:val="65D56155"/>
    <w:rsid w:val="66F531A7"/>
    <w:rsid w:val="670F364C"/>
    <w:rsid w:val="678F628F"/>
    <w:rsid w:val="67E647BE"/>
    <w:rsid w:val="686F0B55"/>
    <w:rsid w:val="689F5DD7"/>
    <w:rsid w:val="692769A5"/>
    <w:rsid w:val="69D60E81"/>
    <w:rsid w:val="6A076735"/>
    <w:rsid w:val="6A3507E1"/>
    <w:rsid w:val="6B1B10B8"/>
    <w:rsid w:val="6B3477C6"/>
    <w:rsid w:val="6C30216B"/>
    <w:rsid w:val="6D6D59F9"/>
    <w:rsid w:val="7016268B"/>
    <w:rsid w:val="70C1148D"/>
    <w:rsid w:val="71C53541"/>
    <w:rsid w:val="72E621AC"/>
    <w:rsid w:val="744C3764"/>
    <w:rsid w:val="74845C34"/>
    <w:rsid w:val="75901E34"/>
    <w:rsid w:val="77710C55"/>
    <w:rsid w:val="79593D9E"/>
    <w:rsid w:val="7A5D11F6"/>
    <w:rsid w:val="7BA27DC6"/>
    <w:rsid w:val="7D9E2D7B"/>
    <w:rsid w:val="7F88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4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 w:line="360" w:lineRule="auto"/>
      <w:outlineLvl w:val="0"/>
    </w:pPr>
    <w:rPr>
      <w:rFonts w:ascii="Times New Roman" w:hAnsi="Times New Roman" w:eastAsia="宋体" w:cs="Times New Roman"/>
      <w:b/>
      <w:bCs/>
      <w:kern w:val="44"/>
      <w:sz w:val="32"/>
      <w:szCs w:val="28"/>
    </w:rPr>
  </w:style>
  <w:style w:type="paragraph" w:styleId="3">
    <w:name w:val="heading 2"/>
    <w:basedOn w:val="4"/>
    <w:next w:val="5"/>
    <w:link w:val="35"/>
    <w:qFormat/>
    <w:uiPriority w:val="0"/>
    <w:pPr>
      <w:numPr>
        <w:ilvl w:val="1"/>
      </w:numPr>
      <w:tabs>
        <w:tab w:val="left" w:pos="567"/>
      </w:tabs>
      <w:outlineLvl w:val="1"/>
    </w:pPr>
    <w:rPr>
      <w:sz w:val="30"/>
    </w:rPr>
  </w:style>
  <w:style w:type="paragraph" w:styleId="4">
    <w:name w:val="heading 3"/>
    <w:basedOn w:val="1"/>
    <w:next w:val="5"/>
    <w:link w:val="36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 w:line="360" w:lineRule="auto"/>
      <w:ind w:left="283"/>
      <w:outlineLvl w:val="2"/>
    </w:pPr>
    <w:rPr>
      <w:rFonts w:ascii="Times New Roman" w:hAnsi="Times New Roman" w:eastAsia="宋体" w:cs="Times New Roman"/>
      <w:b/>
      <w:bCs/>
      <w:sz w:val="28"/>
      <w:szCs w:val="18"/>
    </w:rPr>
  </w:style>
  <w:style w:type="paragraph" w:styleId="6">
    <w:name w:val="heading 4"/>
    <w:basedOn w:val="1"/>
    <w:next w:val="1"/>
    <w:link w:val="37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 w:line="360" w:lineRule="auto"/>
      <w:jc w:val="left"/>
      <w:outlineLvl w:val="3"/>
    </w:pPr>
    <w:rPr>
      <w:rFonts w:ascii="Times New Roman" w:hAnsi="Arial" w:eastAsia="宋体" w:cs="Times New Roman"/>
      <w:b/>
      <w:bCs/>
      <w:sz w:val="24"/>
      <w:szCs w:val="28"/>
    </w:rPr>
  </w:style>
  <w:style w:type="paragraph" w:styleId="7">
    <w:name w:val="heading 5"/>
    <w:basedOn w:val="1"/>
    <w:next w:val="1"/>
    <w:link w:val="38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/>
      <w:jc w:val="left"/>
      <w:outlineLvl w:val="4"/>
    </w:pPr>
    <w:rPr>
      <w:rFonts w:ascii="Times New Roman" w:hAnsi="Times New Roman" w:eastAsia="宋体" w:cs="Times New Roman"/>
      <w:b/>
      <w:bCs/>
      <w:sz w:val="28"/>
      <w:szCs w:val="28"/>
    </w:rPr>
  </w:style>
  <w:style w:type="paragraph" w:styleId="8">
    <w:name w:val="heading 6"/>
    <w:basedOn w:val="7"/>
    <w:next w:val="1"/>
    <w:link w:val="39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40"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41"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link w:val="42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spacing w:line="360" w:lineRule="auto"/>
      <w:ind w:firstLine="150" w:firstLineChars="150"/>
      <w:jc w:val="left"/>
    </w:pPr>
    <w:rPr>
      <w:rFonts w:ascii="Times New Roman" w:hAnsi="Times New Roman" w:eastAsia="宋体" w:cs="Times New Roman"/>
      <w:sz w:val="24"/>
      <w:szCs w:val="24"/>
    </w:rPr>
  </w:style>
  <w:style w:type="paragraph" w:styleId="12">
    <w:name w:val="Balloon Text"/>
    <w:basedOn w:val="1"/>
    <w:link w:val="33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semiHidden/>
    <w:unhideWhenUsed/>
    <w:qFormat/>
    <w:uiPriority w:val="39"/>
  </w:style>
  <w:style w:type="paragraph" w:styleId="16">
    <w:name w:val="toc 2"/>
    <w:basedOn w:val="1"/>
    <w:next w:val="1"/>
    <w:semiHidden/>
    <w:unhideWhenUsed/>
    <w:uiPriority w:val="39"/>
    <w:pPr>
      <w:ind w:left="420" w:leftChars="200"/>
    </w:pPr>
  </w:style>
  <w:style w:type="character" w:styleId="19">
    <w:name w:val="Strong"/>
    <w:basedOn w:val="18"/>
    <w:qFormat/>
    <w:uiPriority w:val="22"/>
    <w:rPr>
      <w:b/>
    </w:rPr>
  </w:style>
  <w:style w:type="character" w:styleId="20">
    <w:name w:val="FollowedHyperlink"/>
    <w:basedOn w:val="18"/>
    <w:semiHidden/>
    <w:unhideWhenUsed/>
    <w:qFormat/>
    <w:uiPriority w:val="99"/>
    <w:rPr>
      <w:color w:val="800080"/>
      <w:u w:val="none"/>
    </w:rPr>
  </w:style>
  <w:style w:type="character" w:styleId="21">
    <w:name w:val="Emphasis"/>
    <w:basedOn w:val="18"/>
    <w:qFormat/>
    <w:uiPriority w:val="20"/>
    <w:rPr>
      <w:rFonts w:ascii="ActionIcon ! important" w:hAnsi="ActionIcon ! important" w:eastAsia="ActionIcon ! important" w:cs="ActionIcon ! important"/>
      <w:b/>
      <w:vanish/>
      <w:color w:val="3D4B62"/>
      <w:sz w:val="24"/>
      <w:szCs w:val="24"/>
    </w:rPr>
  </w:style>
  <w:style w:type="character" w:styleId="22">
    <w:name w:val="HTML Definition"/>
    <w:basedOn w:val="18"/>
    <w:semiHidden/>
    <w:unhideWhenUsed/>
    <w:qFormat/>
    <w:uiPriority w:val="99"/>
  </w:style>
  <w:style w:type="character" w:styleId="23">
    <w:name w:val="HTML Typewriter"/>
    <w:basedOn w:val="18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4">
    <w:name w:val="HTML Acronym"/>
    <w:basedOn w:val="18"/>
    <w:semiHidden/>
    <w:unhideWhenUsed/>
    <w:qFormat/>
    <w:uiPriority w:val="99"/>
  </w:style>
  <w:style w:type="character" w:styleId="25">
    <w:name w:val="HTML Variable"/>
    <w:basedOn w:val="18"/>
    <w:semiHidden/>
    <w:unhideWhenUsed/>
    <w:qFormat/>
    <w:uiPriority w:val="99"/>
  </w:style>
  <w:style w:type="character" w:styleId="26">
    <w:name w:val="Hyperlink"/>
    <w:qFormat/>
    <w:uiPriority w:val="99"/>
    <w:rPr>
      <w:color w:val="0000FF"/>
      <w:u w:val="single"/>
    </w:rPr>
  </w:style>
  <w:style w:type="character" w:styleId="27">
    <w:name w:val="HTML Code"/>
    <w:basedOn w:val="18"/>
    <w:semiHidden/>
    <w:unhideWhenUsed/>
    <w:qFormat/>
    <w:uiPriority w:val="99"/>
    <w:rPr>
      <w:rFonts w:ascii="monospace" w:hAnsi="monospace" w:eastAsia="monospace" w:cs="monospace"/>
      <w:sz w:val="20"/>
    </w:rPr>
  </w:style>
  <w:style w:type="character" w:styleId="28">
    <w:name w:val="HTML Cite"/>
    <w:basedOn w:val="18"/>
    <w:semiHidden/>
    <w:unhideWhenUsed/>
    <w:qFormat/>
    <w:uiPriority w:val="99"/>
  </w:style>
  <w:style w:type="character" w:styleId="29">
    <w:name w:val="HTML Keyboard"/>
    <w:basedOn w:val="18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30">
    <w:name w:val="HTML Sample"/>
    <w:basedOn w:val="18"/>
    <w:semiHidden/>
    <w:unhideWhenUsed/>
    <w:qFormat/>
    <w:uiPriority w:val="99"/>
    <w:rPr>
      <w:rFonts w:hint="default" w:ascii="monospace" w:hAnsi="monospace" w:eastAsia="monospace" w:cs="monospace"/>
    </w:rPr>
  </w:style>
  <w:style w:type="character" w:customStyle="1" w:styleId="31">
    <w:name w:val="页眉 Char"/>
    <w:basedOn w:val="18"/>
    <w:link w:val="14"/>
    <w:qFormat/>
    <w:uiPriority w:val="99"/>
    <w:rPr>
      <w:sz w:val="18"/>
      <w:szCs w:val="18"/>
    </w:rPr>
  </w:style>
  <w:style w:type="character" w:customStyle="1" w:styleId="32">
    <w:name w:val="页脚 Char"/>
    <w:basedOn w:val="18"/>
    <w:link w:val="13"/>
    <w:qFormat/>
    <w:uiPriority w:val="99"/>
    <w:rPr>
      <w:sz w:val="18"/>
      <w:szCs w:val="18"/>
    </w:rPr>
  </w:style>
  <w:style w:type="character" w:customStyle="1" w:styleId="33">
    <w:name w:val="批注框文本 Char"/>
    <w:basedOn w:val="18"/>
    <w:link w:val="12"/>
    <w:semiHidden/>
    <w:qFormat/>
    <w:uiPriority w:val="99"/>
    <w:rPr>
      <w:sz w:val="18"/>
      <w:szCs w:val="18"/>
    </w:rPr>
  </w:style>
  <w:style w:type="character" w:customStyle="1" w:styleId="34">
    <w:name w:val="标题 1 Char"/>
    <w:basedOn w:val="18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35">
    <w:name w:val="标题 2 Char"/>
    <w:basedOn w:val="18"/>
    <w:link w:val="3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36">
    <w:name w:val="标题 3 Char"/>
    <w:basedOn w:val="18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37">
    <w:name w:val="标题 4 Char"/>
    <w:basedOn w:val="18"/>
    <w:link w:val="6"/>
    <w:qFormat/>
    <w:uiPriority w:val="0"/>
    <w:rPr>
      <w:rFonts w:ascii="Times New Roman" w:hAnsi="Arial" w:eastAsia="宋体" w:cs="Times New Roman"/>
      <w:b/>
      <w:bCs/>
      <w:sz w:val="24"/>
      <w:szCs w:val="28"/>
    </w:rPr>
  </w:style>
  <w:style w:type="character" w:customStyle="1" w:styleId="38">
    <w:name w:val="标题 5 Char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39">
    <w:name w:val="标题 6 Char"/>
    <w:basedOn w:val="18"/>
    <w:link w:val="8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40">
    <w:name w:val="标题 7 Char"/>
    <w:basedOn w:val="18"/>
    <w:link w:val="9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41">
    <w:name w:val="标题 8 Char"/>
    <w:basedOn w:val="18"/>
    <w:link w:val="10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42">
    <w:name w:val="标题 9 Char"/>
    <w:basedOn w:val="18"/>
    <w:link w:val="11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paragraph" w:customStyle="1" w:styleId="43">
    <w:name w:val="1"/>
    <w:basedOn w:val="1"/>
    <w:link w:val="44"/>
    <w:qFormat/>
    <w:uiPriority w:val="0"/>
    <w:pPr>
      <w:spacing w:line="360" w:lineRule="auto"/>
      <w:jc w:val="left"/>
    </w:pPr>
    <w:rPr>
      <w:rFonts w:ascii="Times New Roman" w:hAnsi="Times New Roman" w:eastAsia="宋体" w:cs="Times New Roman"/>
      <w:szCs w:val="24"/>
    </w:rPr>
  </w:style>
  <w:style w:type="character" w:customStyle="1" w:styleId="44">
    <w:name w:val="1 Char"/>
    <w:link w:val="43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45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46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17</Pages>
  <Words>1236</Words>
  <Characters>1492</Characters>
  <Lines>17</Lines>
  <Paragraphs>5</Paragraphs>
  <TotalTime>0</TotalTime>
  <ScaleCrop>false</ScaleCrop>
  <LinksUpToDate>false</LinksUpToDate>
  <CharactersWithSpaces>1659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2022-05-25T10:03:00Z</dcterms:created>
  <dc:creator>陈琼</dc:creator>
  <cp:lastModifiedBy>高阳</cp:lastModifiedBy>
  <dcterms:modified xsi:type="dcterms:W3CDTF">2023-02-20T02:55:45Z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57B6A4D1C2DF4AD883ACE11C0D90F030</vt:lpwstr>
  </property>
</Properties>
</file>