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cs="黑体"/>
          <w:sz w:val="36"/>
          <w:szCs w:val="36"/>
          <w:lang w:val="en"/>
        </w:rPr>
      </w:pPr>
      <w:r>
        <w:rPr>
          <w:rFonts w:hint="eastAsia" w:ascii="黑体" w:hAnsi="黑体" w:eastAsia="黑体" w:cs="黑体"/>
          <w:sz w:val="36"/>
          <w:szCs w:val="36"/>
        </w:rPr>
        <w:t>湖南省公共资源交易中心补充耕地指标交易平台操作</w:t>
      </w:r>
      <w:r>
        <w:rPr>
          <w:rFonts w:ascii="黑体" w:hAnsi="黑体" w:eastAsia="黑体" w:cs="黑体"/>
          <w:sz w:val="36"/>
          <w:szCs w:val="36"/>
          <w:lang w:val="en"/>
        </w:rPr>
        <w:t>规程</w:t>
      </w:r>
    </w:p>
    <w:p>
      <w:pPr>
        <w:snapToGrid w:val="0"/>
        <w:jc w:val="center"/>
        <w:rPr>
          <w:rFonts w:ascii="黑体" w:hAnsi="黑体" w:eastAsia="黑体" w:cs="黑体"/>
          <w:sz w:val="36"/>
          <w:szCs w:val="36"/>
          <w:lang w:val="en"/>
        </w:rPr>
      </w:pPr>
    </w:p>
    <w:tbl>
      <w:tblPr>
        <w:tblStyle w:val="7"/>
        <w:tblW w:w="4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0"/>
        <w:gridCol w:w="421"/>
        <w:gridCol w:w="1617"/>
        <w:gridCol w:w="2952"/>
        <w:gridCol w:w="575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tblHeader/>
          <w:jc w:val="center"/>
        </w:trPr>
        <w:tc>
          <w:tcPr>
            <w:tcW w:w="281" w:type="pct"/>
            <w:vMerge w:val="restart"/>
            <w:shd w:val="clear" w:color="auto" w:fill="F1F1F1"/>
            <w:vAlign w:val="center"/>
          </w:tcPr>
          <w:p>
            <w:pPr>
              <w:widowControl/>
              <w:snapToGrid w:val="0"/>
              <w:spacing w:line="200" w:lineRule="atLeast"/>
              <w:jc w:val="center"/>
              <w:textAlignment w:val="center"/>
              <w:rPr>
                <w:rFonts w:ascii="黑体" w:hAnsi="黑体" w:eastAsia="黑体" w:cs="黑体"/>
                <w:bCs/>
                <w:kern w:val="0"/>
                <w:sz w:val="24"/>
                <w:lang w:bidi="ar"/>
              </w:rPr>
            </w:pPr>
            <w:r>
              <w:rPr>
                <w:rFonts w:hint="eastAsia" w:ascii="黑体" w:hAnsi="黑体" w:eastAsia="黑体" w:cs="黑体"/>
                <w:bCs/>
                <w:kern w:val="0"/>
                <w:sz w:val="24"/>
                <w:lang w:bidi="ar"/>
              </w:rPr>
              <w:t>交易</w:t>
            </w:r>
          </w:p>
          <w:p>
            <w:pPr>
              <w:widowControl/>
              <w:snapToGrid w:val="0"/>
              <w:spacing w:line="200" w:lineRule="atLeast"/>
              <w:jc w:val="center"/>
              <w:textAlignment w:val="center"/>
              <w:rPr>
                <w:rFonts w:ascii="黑体" w:hAnsi="黑体" w:eastAsia="黑体" w:cs="黑体"/>
                <w:bCs/>
                <w:sz w:val="24"/>
              </w:rPr>
            </w:pPr>
            <w:r>
              <w:rPr>
                <w:rFonts w:hint="eastAsia" w:ascii="黑体" w:hAnsi="黑体" w:eastAsia="黑体" w:cs="黑体"/>
                <w:bCs/>
                <w:kern w:val="0"/>
                <w:sz w:val="24"/>
                <w:lang w:bidi="ar"/>
              </w:rPr>
              <w:t>环节</w:t>
            </w:r>
          </w:p>
        </w:tc>
        <w:tc>
          <w:tcPr>
            <w:tcW w:w="1944" w:type="pct"/>
            <w:gridSpan w:val="3"/>
            <w:shd w:val="clear" w:color="auto" w:fill="F1F1F1"/>
            <w:vAlign w:val="center"/>
          </w:tcPr>
          <w:p>
            <w:pPr>
              <w:widowControl/>
              <w:snapToGrid w:val="0"/>
              <w:spacing w:line="200" w:lineRule="atLeast"/>
              <w:jc w:val="center"/>
              <w:textAlignment w:val="center"/>
              <w:rPr>
                <w:rFonts w:ascii="黑体" w:hAnsi="黑体" w:eastAsia="黑体" w:cs="黑体"/>
                <w:bCs/>
                <w:sz w:val="24"/>
              </w:rPr>
            </w:pPr>
            <w:r>
              <w:rPr>
                <w:rFonts w:hint="eastAsia" w:ascii="黑体" w:hAnsi="黑体" w:eastAsia="黑体" w:cs="黑体"/>
                <w:bCs/>
                <w:kern w:val="0"/>
                <w:sz w:val="24"/>
                <w:lang w:bidi="ar"/>
              </w:rPr>
              <w:t>交易流程</w:t>
            </w:r>
          </w:p>
        </w:tc>
        <w:tc>
          <w:tcPr>
            <w:tcW w:w="2243" w:type="pct"/>
            <w:vMerge w:val="restart"/>
            <w:tcBorders>
              <w:right w:val="single" w:color="auto" w:sz="4" w:space="0"/>
            </w:tcBorders>
            <w:shd w:val="clear" w:color="auto" w:fill="F1F1F1"/>
            <w:vAlign w:val="center"/>
          </w:tcPr>
          <w:p>
            <w:pPr>
              <w:widowControl/>
              <w:snapToGrid w:val="0"/>
              <w:spacing w:line="200" w:lineRule="atLeast"/>
              <w:jc w:val="center"/>
              <w:textAlignment w:val="center"/>
              <w:rPr>
                <w:rFonts w:ascii="黑体" w:hAnsi="黑体" w:eastAsia="黑体" w:cs="黑体"/>
                <w:sz w:val="24"/>
                <w:lang w:val="en"/>
              </w:rPr>
            </w:pPr>
            <w:r>
              <w:rPr>
                <w:rFonts w:hint="eastAsia" w:ascii="黑体" w:hAnsi="黑体" w:eastAsia="黑体" w:cs="黑体"/>
                <w:kern w:val="0"/>
                <w:sz w:val="24"/>
                <w:lang w:val="en" w:bidi="ar"/>
              </w:rPr>
              <w:t>工作规程</w:t>
            </w:r>
          </w:p>
        </w:tc>
        <w:tc>
          <w:tcPr>
            <w:tcW w:w="530" w:type="pct"/>
            <w:vMerge w:val="restart"/>
            <w:tcBorders>
              <w:right w:val="single" w:color="auto" w:sz="4" w:space="0"/>
            </w:tcBorders>
            <w:shd w:val="clear" w:color="auto" w:fill="F1F1F1"/>
            <w:vAlign w:val="center"/>
          </w:tcPr>
          <w:p>
            <w:pPr>
              <w:widowControl/>
              <w:snapToGrid w:val="0"/>
              <w:spacing w:line="200" w:lineRule="atLeast"/>
              <w:jc w:val="center"/>
              <w:textAlignment w:val="center"/>
              <w:rPr>
                <w:rFonts w:ascii="黑体" w:hAnsi="黑体" w:eastAsia="黑体" w:cs="黑体"/>
                <w:kern w:val="0"/>
                <w:sz w:val="24"/>
                <w:lang w:val="en" w:bidi="ar"/>
              </w:rPr>
            </w:pPr>
            <w:r>
              <w:rPr>
                <w:rFonts w:hint="eastAsia" w:ascii="黑体" w:hAnsi="黑体" w:eastAsia="黑体" w:cs="黑体"/>
                <w:kern w:val="0"/>
                <w:sz w:val="24"/>
                <w:lang w:val="en" w:bidi="ar"/>
              </w:rPr>
              <w:t>工作主体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6" w:hRule="atLeast"/>
          <w:tblHeader/>
          <w:jc w:val="center"/>
        </w:trPr>
        <w:tc>
          <w:tcPr>
            <w:tcW w:w="281" w:type="pct"/>
            <w:vMerge w:val="continue"/>
            <w:shd w:val="clear" w:color="auto" w:fill="F1F1F1"/>
            <w:vAlign w:val="center"/>
          </w:tcPr>
          <w:p>
            <w:pPr>
              <w:widowControl/>
              <w:snapToGrid w:val="0"/>
              <w:spacing w:line="200" w:lineRule="atLeast"/>
              <w:jc w:val="center"/>
              <w:rPr>
                <w:rFonts w:ascii="黑体" w:hAnsi="黑体" w:eastAsia="黑体" w:cs="黑体"/>
                <w:bCs/>
                <w:sz w:val="24"/>
              </w:rPr>
            </w:pPr>
          </w:p>
        </w:tc>
        <w:tc>
          <w:tcPr>
            <w:tcW w:w="164"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sz w:val="24"/>
              </w:rPr>
              <w:t>序号</w:t>
            </w:r>
          </w:p>
        </w:tc>
        <w:tc>
          <w:tcPr>
            <w:tcW w:w="630"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sz w:val="24"/>
              </w:rPr>
              <w:t>工作环节</w:t>
            </w:r>
          </w:p>
        </w:tc>
        <w:tc>
          <w:tcPr>
            <w:tcW w:w="1150"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kern w:val="0"/>
                <w:sz w:val="24"/>
                <w:lang w:bidi="ar"/>
              </w:rPr>
              <w:t>工作内容</w:t>
            </w:r>
          </w:p>
        </w:tc>
        <w:tc>
          <w:tcPr>
            <w:tcW w:w="2243" w:type="pct"/>
            <w:vMerge w:val="continue"/>
            <w:tcBorders>
              <w:right w:val="single" w:color="auto" w:sz="4" w:space="0"/>
            </w:tcBorders>
            <w:shd w:val="clear" w:color="auto" w:fill="F1F1F1"/>
            <w:vAlign w:val="center"/>
          </w:tcPr>
          <w:p>
            <w:pPr>
              <w:widowControl/>
              <w:snapToGrid w:val="0"/>
              <w:spacing w:line="200" w:lineRule="atLeast"/>
              <w:jc w:val="center"/>
              <w:textAlignment w:val="center"/>
              <w:rPr>
                <w:rFonts w:ascii="仿宋" w:hAnsi="仿宋" w:eastAsia="仿宋" w:cs="仿宋"/>
                <w:b/>
                <w:bCs/>
                <w:sz w:val="24"/>
              </w:rPr>
            </w:pPr>
          </w:p>
        </w:tc>
        <w:tc>
          <w:tcPr>
            <w:tcW w:w="530" w:type="pct"/>
            <w:vMerge w:val="continue"/>
            <w:tcBorders>
              <w:right w:val="single" w:color="auto" w:sz="4" w:space="0"/>
            </w:tcBorders>
            <w:shd w:val="clear" w:color="auto" w:fill="F1F1F1"/>
            <w:vAlign w:val="center"/>
          </w:tcPr>
          <w:p>
            <w:pPr>
              <w:widowControl/>
              <w:snapToGrid w:val="0"/>
              <w:spacing w:line="200" w:lineRule="atLeast"/>
              <w:jc w:val="center"/>
              <w:textAlignment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81" w:type="pct"/>
            <w:vMerge w:val="restart"/>
            <w:vAlign w:val="center"/>
          </w:tcPr>
          <w:p>
            <w:pPr>
              <w:jc w:val="center"/>
              <w:rPr>
                <w:rFonts w:ascii="仿宋" w:hAnsi="仿宋" w:eastAsia="仿宋" w:cs="仿宋"/>
                <w:sz w:val="24"/>
              </w:rPr>
            </w:pPr>
            <w:r>
              <w:rPr>
                <w:rFonts w:hint="eastAsia" w:ascii="仿宋" w:hAnsi="仿宋" w:eastAsia="仿宋" w:cs="仿宋"/>
                <w:sz w:val="24"/>
              </w:rPr>
              <w:t>挂牌前</w:t>
            </w:r>
          </w:p>
        </w:tc>
        <w:tc>
          <w:tcPr>
            <w:tcW w:w="164" w:type="pct"/>
            <w:vMerge w:val="restart"/>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一</w:t>
            </w:r>
          </w:p>
        </w:tc>
        <w:tc>
          <w:tcPr>
            <w:tcW w:w="630" w:type="pct"/>
            <w:vMerge w:val="restart"/>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p>
          <w:p>
            <w:pPr>
              <w:widowControl/>
              <w:tabs>
                <w:tab w:val="left" w:pos="1707"/>
              </w:tabs>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项目受理</w:t>
            </w:r>
          </w:p>
        </w:tc>
        <w:tc>
          <w:tcPr>
            <w:tcW w:w="1150" w:type="pct"/>
            <w:shd w:val="clear" w:color="auto" w:fill="auto"/>
            <w:vAlign w:val="center"/>
          </w:tcPr>
          <w:p>
            <w:pPr>
              <w:widowControl/>
              <w:snapToGrid w:val="0"/>
              <w:spacing w:line="200" w:lineRule="atLeast"/>
              <w:textAlignment w:val="center"/>
              <w:rPr>
                <w:rFonts w:ascii="仿宋" w:hAnsi="仿宋" w:eastAsia="仿宋" w:cs="仿宋"/>
                <w:kern w:val="0"/>
                <w:sz w:val="24"/>
                <w:lang w:bidi="ar"/>
              </w:rPr>
            </w:pPr>
            <w:r>
              <w:rPr>
                <w:rFonts w:hint="eastAsia" w:ascii="仿宋" w:hAnsi="仿宋" w:eastAsia="仿宋" w:cs="仿宋"/>
                <w:kern w:val="0"/>
                <w:sz w:val="24"/>
                <w:lang w:bidi="ar"/>
              </w:rPr>
              <w:t>1.交易委托</w:t>
            </w:r>
          </w:p>
        </w:tc>
        <w:tc>
          <w:tcPr>
            <w:tcW w:w="2243" w:type="pct"/>
            <w:shd w:val="clear" w:color="auto" w:fill="auto"/>
            <w:vAlign w:val="center"/>
          </w:tcPr>
          <w:p>
            <w:pPr>
              <w:widowControl/>
              <w:snapToGrid w:val="0"/>
              <w:spacing w:line="200" w:lineRule="atLeast"/>
              <w:textAlignment w:val="center"/>
              <w:rPr>
                <w:rFonts w:ascii="仿宋" w:hAnsi="仿宋" w:eastAsia="仿宋" w:cs="仿宋"/>
                <w:bCs/>
                <w:color w:val="000000" w:themeColor="text1"/>
                <w:sz w:val="24"/>
                <w:lang w:val="en"/>
                <w14:textFill>
                  <w14:solidFill>
                    <w14:schemeClr w14:val="tx1"/>
                  </w14:solidFill>
                </w14:textFill>
              </w:rPr>
            </w:pPr>
            <w:r>
              <w:rPr>
                <w:rFonts w:hint="eastAsia" w:ascii="仿宋" w:hAnsi="仿宋" w:eastAsia="仿宋" w:cs="仿宋"/>
                <w:bCs/>
                <w:color w:val="000000" w:themeColor="text1"/>
                <w:sz w:val="24"/>
                <w:lang w:val="en"/>
                <w14:textFill>
                  <w14:solidFill>
                    <w14:schemeClr w14:val="tx1"/>
                  </w14:solidFill>
                </w14:textFill>
              </w:rPr>
              <w:t>1、首次进行网上交易的</w:t>
            </w:r>
            <w:r>
              <w:rPr>
                <w:rFonts w:hint="eastAsia" w:ascii="仿宋" w:hAnsi="仿宋" w:eastAsia="仿宋" w:cs="仿宋"/>
                <w:bCs/>
                <w:color w:val="000000" w:themeColor="text1"/>
                <w:sz w:val="24"/>
                <w14:textFill>
                  <w14:solidFill>
                    <w14:schemeClr w14:val="tx1"/>
                  </w14:solidFill>
                </w14:textFill>
              </w:rPr>
              <w:t>委托</w:t>
            </w:r>
            <w:r>
              <w:rPr>
                <w:rFonts w:hint="eastAsia" w:ascii="仿宋" w:hAnsi="仿宋" w:eastAsia="仿宋" w:cs="仿宋"/>
                <w:bCs/>
                <w:color w:val="000000" w:themeColor="text1"/>
                <w:sz w:val="24"/>
                <w:lang w:val="en"/>
                <w14:textFill>
                  <w14:solidFill>
                    <w14:schemeClr w14:val="tx1"/>
                  </w14:solidFill>
                </w14:textFill>
              </w:rPr>
              <w:t>人须办理全省通用的CA数字证书（须含电子印章），登录湖南省公共资源交易服务平台进行注册并选择补充耕地指标竞买人</w:t>
            </w:r>
            <w:r>
              <w:rPr>
                <w:rFonts w:hint="eastAsia" w:ascii="仿宋" w:hAnsi="仿宋" w:eastAsia="仿宋" w:cs="仿宋"/>
                <w:bCs/>
                <w:color w:val="000000" w:themeColor="text1"/>
                <w:sz w:val="24"/>
                <w14:textFill>
                  <w14:solidFill>
                    <w14:schemeClr w14:val="tx1"/>
                  </w14:solidFill>
                </w14:textFill>
              </w:rPr>
              <w:t>/转让人主体类型，</w:t>
            </w:r>
            <w:r>
              <w:rPr>
                <w:rFonts w:hint="eastAsia" w:ascii="仿宋" w:hAnsi="仿宋" w:eastAsia="仿宋" w:cs="仿宋"/>
                <w:bCs/>
                <w:color w:val="000000" w:themeColor="text1"/>
                <w:sz w:val="24"/>
                <w:lang w:val="en"/>
                <w14:textFill>
                  <w14:solidFill>
                    <w14:schemeClr w14:val="tx1"/>
                  </w14:solidFill>
                </w14:textFill>
              </w:rPr>
              <w:t>绑定（激活）数字证书。</w:t>
            </w:r>
          </w:p>
          <w:p>
            <w:pPr>
              <w:widowControl/>
              <w:snapToGrid w:val="0"/>
              <w:spacing w:line="200" w:lineRule="atLeast"/>
              <w:textAlignment w:val="center"/>
              <w:rPr>
                <w:rFonts w:ascii="仿宋" w:hAnsi="仿宋" w:eastAsia="仿宋" w:cs="仿宋"/>
                <w:bCs/>
                <w:color w:val="000000" w:themeColor="text1"/>
                <w:sz w:val="24"/>
                <w:lang w:val="e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r>
              <w:rPr>
                <w:rFonts w:hint="eastAsia" w:ascii="仿宋" w:hAnsi="仿宋" w:eastAsia="仿宋" w:cs="仿宋"/>
                <w:bCs/>
                <w:color w:val="000000" w:themeColor="text1"/>
                <w:sz w:val="24"/>
                <w:lang w:eastAsia="zh-CN"/>
                <w14:textFill>
                  <w14:solidFill>
                    <w14:schemeClr w14:val="tx1"/>
                  </w14:solidFill>
                </w14:textFill>
              </w:rPr>
              <w:t>、转让人</w:t>
            </w:r>
            <w:r>
              <w:rPr>
                <w:rFonts w:hint="eastAsia" w:ascii="仿宋" w:hAnsi="仿宋" w:eastAsia="仿宋" w:cs="仿宋"/>
                <w:bCs/>
                <w:color w:val="000000" w:themeColor="text1"/>
                <w:sz w:val="24"/>
                <w:lang w:val="en"/>
                <w14:textFill>
                  <w14:solidFill>
                    <w14:schemeClr w14:val="tx1"/>
                  </w14:solidFill>
                </w14:textFill>
              </w:rPr>
              <w:t>凭CA数字证书登录省公共资源交易中心补充耕地指标</w:t>
            </w:r>
            <w:r>
              <w:rPr>
                <w:rFonts w:hint="eastAsia" w:ascii="仿宋" w:hAnsi="仿宋" w:eastAsia="仿宋" w:cs="仿宋"/>
                <w:bCs/>
                <w:color w:val="000000" w:themeColor="text1"/>
                <w:sz w:val="24"/>
                <w:lang w:val="en" w:eastAsia="zh-CN"/>
                <w14:textFill>
                  <w14:solidFill>
                    <w14:schemeClr w14:val="tx1"/>
                  </w14:solidFill>
                </w14:textFill>
              </w:rPr>
              <w:t>交易</w:t>
            </w:r>
            <w:r>
              <w:rPr>
                <w:rFonts w:hint="eastAsia" w:ascii="仿宋" w:hAnsi="仿宋" w:eastAsia="仿宋" w:cs="仿宋"/>
                <w:bCs/>
                <w:color w:val="000000" w:themeColor="text1"/>
                <w:sz w:val="24"/>
                <w:lang w:val="en"/>
                <w14:textFill>
                  <w14:solidFill>
                    <w14:schemeClr w14:val="tx1"/>
                  </w14:solidFill>
                </w14:textFill>
              </w:rPr>
              <w:t>系统</w:t>
            </w:r>
            <w:r>
              <w:rPr>
                <w:rFonts w:hint="default" w:ascii="仿宋" w:hAnsi="仿宋" w:eastAsia="仿宋" w:cs="仿宋"/>
                <w:bCs/>
                <w:color w:val="000000" w:themeColor="text1"/>
                <w:sz w:val="24"/>
                <w:lang w:val="en"/>
                <w14:textFill>
                  <w14:solidFill>
                    <w14:schemeClr w14:val="tx1"/>
                  </w14:solidFill>
                </w14:textFill>
              </w:rPr>
              <w:t>,</w:t>
            </w:r>
            <w:r>
              <w:rPr>
                <w:rFonts w:hint="eastAsia" w:ascii="仿宋" w:hAnsi="仿宋" w:eastAsia="仿宋" w:cs="仿宋"/>
                <w:bCs/>
                <w:color w:val="000000" w:themeColor="text1"/>
                <w:sz w:val="24"/>
                <w:lang w:val="en"/>
                <w14:textFill>
                  <w14:solidFill>
                    <w14:schemeClr w14:val="tx1"/>
                  </w14:solidFill>
                </w14:textFill>
              </w:rPr>
              <w:t>按下述要求</w:t>
            </w:r>
            <w:r>
              <w:rPr>
                <w:rFonts w:hint="eastAsia" w:ascii="仿宋" w:hAnsi="仿宋" w:eastAsia="仿宋" w:cs="仿宋"/>
                <w:bCs/>
                <w:color w:val="000000" w:themeColor="text1"/>
                <w:sz w:val="24"/>
                <w:lang w:val="en" w:eastAsia="zh-CN"/>
                <w14:textFill>
                  <w14:solidFill>
                    <w14:schemeClr w14:val="tx1"/>
                  </w14:solidFill>
                </w14:textFill>
              </w:rPr>
              <w:t>在线</w:t>
            </w:r>
            <w:r>
              <w:rPr>
                <w:rFonts w:hint="eastAsia" w:ascii="仿宋" w:hAnsi="仿宋" w:eastAsia="仿宋" w:cs="仿宋"/>
                <w:bCs/>
                <w:color w:val="000000" w:themeColor="text1"/>
                <w:sz w:val="24"/>
                <w:lang w:val="en"/>
                <w14:textFill>
                  <w14:solidFill>
                    <w14:schemeClr w14:val="tx1"/>
                  </w14:solidFill>
                </w14:textFill>
              </w:rPr>
              <w:t>提交</w:t>
            </w:r>
            <w:r>
              <w:rPr>
                <w:rFonts w:hint="eastAsia" w:ascii="仿宋" w:hAnsi="仿宋" w:eastAsia="仿宋" w:cs="仿宋"/>
                <w:bCs/>
                <w:color w:val="000000" w:themeColor="text1"/>
                <w:sz w:val="24"/>
                <w:lang w:val="en" w:eastAsia="zh-CN"/>
                <w14:textFill>
                  <w14:solidFill>
                    <w14:schemeClr w14:val="tx1"/>
                  </w14:solidFill>
                </w14:textFill>
              </w:rPr>
              <w:t>交易委托资料</w:t>
            </w:r>
            <w:r>
              <w:rPr>
                <w:rFonts w:hint="eastAsia" w:ascii="仿宋" w:hAnsi="仿宋" w:eastAsia="仿宋" w:cs="仿宋"/>
                <w:bCs/>
                <w:color w:val="000000" w:themeColor="text1"/>
                <w:sz w:val="24"/>
                <w:lang w:val="en"/>
                <w14:textFill>
                  <w14:solidFill>
                    <w14:schemeClr w14:val="tx1"/>
                  </w14:solidFill>
                </w14:textFill>
              </w:rPr>
              <w:t>：</w:t>
            </w:r>
          </w:p>
          <w:p>
            <w:pPr>
              <w:widowControl/>
              <w:snapToGrid w:val="0"/>
              <w:spacing w:line="200" w:lineRule="atLeast"/>
              <w:textAlignment w:val="center"/>
              <w:rPr>
                <w:rFonts w:ascii="仿宋" w:hAnsi="仿宋" w:eastAsia="仿宋" w:cs="仿宋"/>
                <w:bCs/>
                <w:color w:val="000000" w:themeColor="text1"/>
                <w:sz w:val="24"/>
                <w:lang w:val="en"/>
                <w14:textFill>
                  <w14:solidFill>
                    <w14:schemeClr w14:val="tx1"/>
                  </w14:solidFill>
                </w14:textFill>
              </w:rPr>
            </w:pPr>
            <w:r>
              <w:rPr>
                <w:rFonts w:ascii="仿宋" w:hAnsi="仿宋" w:eastAsia="仿宋" w:cs="仿宋"/>
                <w:bCs/>
                <w:color w:val="000000" w:themeColor="text1"/>
                <w:sz w:val="24"/>
                <w:lang w:val="en"/>
                <w14:textFill>
                  <w14:solidFill>
                    <w14:schemeClr w14:val="tx1"/>
                  </w14:solidFill>
                </w14:textFill>
              </w:rPr>
              <w:fldChar w:fldCharType="begin"/>
            </w:r>
            <w:r>
              <w:rPr>
                <w:rFonts w:ascii="仿宋" w:hAnsi="仿宋" w:eastAsia="仿宋" w:cs="仿宋"/>
                <w:bCs/>
                <w:color w:val="000000" w:themeColor="text1"/>
                <w:sz w:val="24"/>
                <w:lang w:val="en"/>
                <w14:textFill>
                  <w14:solidFill>
                    <w14:schemeClr w14:val="tx1"/>
                  </w14:solidFill>
                </w14:textFill>
              </w:rPr>
              <w:instrText xml:space="preserve"> </w:instrText>
            </w:r>
            <w:r>
              <w:rPr>
                <w:rFonts w:hint="eastAsia" w:ascii="仿宋" w:hAnsi="仿宋" w:eastAsia="仿宋" w:cs="仿宋"/>
                <w:bCs/>
                <w:color w:val="000000" w:themeColor="text1"/>
                <w:sz w:val="24"/>
                <w:lang w:val="en"/>
                <w14:textFill>
                  <w14:solidFill>
                    <w14:schemeClr w14:val="tx1"/>
                  </w14:solidFill>
                </w14:textFill>
              </w:rPr>
              <w:instrText xml:space="preserve">= 1 \* GB3</w:instrText>
            </w:r>
            <w:r>
              <w:rPr>
                <w:rFonts w:ascii="仿宋" w:hAnsi="仿宋" w:eastAsia="仿宋" w:cs="仿宋"/>
                <w:bCs/>
                <w:color w:val="000000" w:themeColor="text1"/>
                <w:sz w:val="24"/>
                <w:lang w:val="en"/>
                <w14:textFill>
                  <w14:solidFill>
                    <w14:schemeClr w14:val="tx1"/>
                  </w14:solidFill>
                </w14:textFill>
              </w:rPr>
              <w:instrText xml:space="preserve"> </w:instrText>
            </w:r>
            <w:r>
              <w:rPr>
                <w:rFonts w:ascii="仿宋" w:hAnsi="仿宋" w:eastAsia="仿宋" w:cs="仿宋"/>
                <w:bCs/>
                <w:color w:val="000000" w:themeColor="text1"/>
                <w:sz w:val="24"/>
                <w:lang w:val="en"/>
                <w14:textFill>
                  <w14:solidFill>
                    <w14:schemeClr w14:val="tx1"/>
                  </w14:solidFill>
                </w14:textFill>
              </w:rPr>
              <w:fldChar w:fldCharType="separate"/>
            </w:r>
            <w:r>
              <w:rPr>
                <w:rFonts w:hint="eastAsia" w:ascii="仿宋" w:hAnsi="仿宋" w:eastAsia="仿宋" w:cs="仿宋"/>
                <w:bCs/>
                <w:color w:val="000000" w:themeColor="text1"/>
                <w:sz w:val="24"/>
                <w:lang w:val="en"/>
                <w14:textFill>
                  <w14:solidFill>
                    <w14:schemeClr w14:val="tx1"/>
                  </w14:solidFill>
                </w14:textFill>
              </w:rPr>
              <w:t>①</w:t>
            </w:r>
            <w:r>
              <w:rPr>
                <w:rFonts w:ascii="仿宋" w:hAnsi="仿宋" w:eastAsia="仿宋" w:cs="仿宋"/>
                <w:bCs/>
                <w:color w:val="000000" w:themeColor="text1"/>
                <w:sz w:val="24"/>
                <w:lang w:val="en"/>
                <w14:textFill>
                  <w14:solidFill>
                    <w14:schemeClr w14:val="tx1"/>
                  </w14:solidFill>
                </w14:textFill>
              </w:rPr>
              <w:fldChar w:fldCharType="end"/>
            </w:r>
            <w:r>
              <w:rPr>
                <w:rFonts w:hint="eastAsia" w:ascii="仿宋" w:hAnsi="仿宋" w:eastAsia="仿宋" w:cs="仿宋"/>
                <w:bCs/>
                <w:color w:val="000000" w:themeColor="text1"/>
                <w:sz w:val="24"/>
                <w:lang w:val="en"/>
                <w14:textFill>
                  <w14:solidFill>
                    <w14:schemeClr w14:val="tx1"/>
                  </w14:solidFill>
                </w14:textFill>
              </w:rPr>
              <w:t>授权委托书;</w:t>
            </w:r>
          </w:p>
          <w:p>
            <w:pPr>
              <w:widowControl/>
              <w:snapToGrid w:val="0"/>
              <w:spacing w:line="200" w:lineRule="atLeast"/>
              <w:textAlignment w:val="center"/>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lang w:val="en"/>
                <w14:textFill>
                  <w14:solidFill>
                    <w14:schemeClr w14:val="tx1"/>
                  </w14:solidFill>
                </w14:textFill>
              </w:rPr>
              <w:fldChar w:fldCharType="begin"/>
            </w:r>
            <w:r>
              <w:rPr>
                <w:rFonts w:ascii="仿宋" w:hAnsi="仿宋" w:eastAsia="仿宋" w:cs="仿宋"/>
                <w:bCs/>
                <w:color w:val="000000" w:themeColor="text1"/>
                <w:sz w:val="24"/>
                <w:lang w:val="en"/>
                <w14:textFill>
                  <w14:solidFill>
                    <w14:schemeClr w14:val="tx1"/>
                  </w14:solidFill>
                </w14:textFill>
              </w:rPr>
              <w:instrText xml:space="preserve"> </w:instrText>
            </w:r>
            <w:r>
              <w:rPr>
                <w:rFonts w:hint="eastAsia" w:ascii="仿宋" w:hAnsi="仿宋" w:eastAsia="仿宋" w:cs="仿宋"/>
                <w:bCs/>
                <w:color w:val="000000" w:themeColor="text1"/>
                <w:sz w:val="24"/>
                <w:lang w:val="en"/>
                <w14:textFill>
                  <w14:solidFill>
                    <w14:schemeClr w14:val="tx1"/>
                  </w14:solidFill>
                </w14:textFill>
              </w:rPr>
              <w:instrText xml:space="preserve">= 2 \* GB3</w:instrText>
            </w:r>
            <w:r>
              <w:rPr>
                <w:rFonts w:ascii="仿宋" w:hAnsi="仿宋" w:eastAsia="仿宋" w:cs="仿宋"/>
                <w:bCs/>
                <w:color w:val="000000" w:themeColor="text1"/>
                <w:sz w:val="24"/>
                <w:lang w:val="en"/>
                <w14:textFill>
                  <w14:solidFill>
                    <w14:schemeClr w14:val="tx1"/>
                  </w14:solidFill>
                </w14:textFill>
              </w:rPr>
              <w:instrText xml:space="preserve"> </w:instrText>
            </w:r>
            <w:r>
              <w:rPr>
                <w:rFonts w:ascii="仿宋" w:hAnsi="仿宋" w:eastAsia="仿宋" w:cs="仿宋"/>
                <w:bCs/>
                <w:color w:val="000000" w:themeColor="text1"/>
                <w:sz w:val="24"/>
                <w:lang w:val="en"/>
                <w14:textFill>
                  <w14:solidFill>
                    <w14:schemeClr w14:val="tx1"/>
                  </w14:solidFill>
                </w14:textFill>
              </w:rPr>
              <w:fldChar w:fldCharType="separate"/>
            </w:r>
            <w:r>
              <w:rPr>
                <w:rFonts w:hint="eastAsia" w:ascii="仿宋" w:hAnsi="仿宋" w:eastAsia="仿宋" w:cs="仿宋"/>
                <w:bCs/>
                <w:color w:val="000000" w:themeColor="text1"/>
                <w:sz w:val="24"/>
                <w:lang w:val="en"/>
                <w14:textFill>
                  <w14:solidFill>
                    <w14:schemeClr w14:val="tx1"/>
                  </w14:solidFill>
                </w14:textFill>
              </w:rPr>
              <w:t>②</w:t>
            </w:r>
            <w:r>
              <w:rPr>
                <w:rFonts w:ascii="仿宋" w:hAnsi="仿宋" w:eastAsia="仿宋" w:cs="仿宋"/>
                <w:bCs/>
                <w:color w:val="000000" w:themeColor="text1"/>
                <w:sz w:val="24"/>
                <w:lang w:val="en"/>
                <w14:textFill>
                  <w14:solidFill>
                    <w14:schemeClr w14:val="tx1"/>
                  </w14:solidFill>
                </w14:textFill>
              </w:rPr>
              <w:fldChar w:fldCharType="end"/>
            </w:r>
            <w:r>
              <w:rPr>
                <w:rFonts w:hint="eastAsia" w:ascii="仿宋" w:hAnsi="仿宋" w:eastAsia="仿宋" w:cs="仿宋"/>
                <w:bCs/>
                <w:color w:val="000000" w:themeColor="text1"/>
                <w:sz w:val="24"/>
                <w:lang w:val="en"/>
                <w14:textFill>
                  <w14:solidFill>
                    <w14:schemeClr w14:val="tx1"/>
                  </w14:solidFill>
                </w14:textFill>
              </w:rPr>
              <w:t>交易委托书;</w:t>
            </w:r>
          </w:p>
          <w:p>
            <w:pPr>
              <w:widowControl/>
              <w:snapToGrid w:val="0"/>
              <w:spacing w:line="200" w:lineRule="atLeast"/>
              <w:textAlignment w:val="center"/>
              <w:rPr>
                <w:rFonts w:ascii="仿宋" w:hAnsi="仿宋" w:eastAsia="仿宋" w:cs="仿宋"/>
                <w:bCs/>
                <w:color w:val="000000" w:themeColor="text1"/>
                <w:sz w:val="24"/>
                <w:lang w:val="en"/>
                <w14:textFill>
                  <w14:solidFill>
                    <w14:schemeClr w14:val="tx1"/>
                  </w14:solidFill>
                </w14:textFill>
              </w:rPr>
            </w:pPr>
            <w:r>
              <w:rPr>
                <w:rFonts w:ascii="仿宋" w:hAnsi="仿宋" w:eastAsia="仿宋" w:cs="仿宋"/>
                <w:bCs/>
                <w:color w:val="000000" w:themeColor="text1"/>
                <w:sz w:val="24"/>
                <w:lang w:val="en"/>
                <w14:textFill>
                  <w14:solidFill>
                    <w14:schemeClr w14:val="tx1"/>
                  </w14:solidFill>
                </w14:textFill>
              </w:rPr>
              <w:fldChar w:fldCharType="begin"/>
            </w:r>
            <w:r>
              <w:rPr>
                <w:rFonts w:hint="eastAsia" w:ascii="仿宋" w:hAnsi="仿宋" w:eastAsia="仿宋" w:cs="仿宋"/>
                <w:bCs/>
                <w:color w:val="000000" w:themeColor="text1"/>
                <w:sz w:val="24"/>
                <w:lang w:val="en"/>
                <w14:textFill>
                  <w14:solidFill>
                    <w14:schemeClr w14:val="tx1"/>
                  </w14:solidFill>
                </w14:textFill>
              </w:rPr>
              <w:instrText xml:space="preserve"> = 3 \* GB3 </w:instrText>
            </w:r>
            <w:r>
              <w:rPr>
                <w:rFonts w:ascii="仿宋" w:hAnsi="仿宋" w:eastAsia="仿宋" w:cs="仿宋"/>
                <w:bCs/>
                <w:color w:val="000000" w:themeColor="text1"/>
                <w:sz w:val="24"/>
                <w:lang w:val="en"/>
                <w14:textFill>
                  <w14:solidFill>
                    <w14:schemeClr w14:val="tx1"/>
                  </w14:solidFill>
                </w14:textFill>
              </w:rPr>
              <w:fldChar w:fldCharType="separate"/>
            </w:r>
            <w:r>
              <w:rPr>
                <w:rFonts w:hint="eastAsia" w:ascii="仿宋" w:hAnsi="仿宋" w:eastAsia="仿宋" w:cs="仿宋"/>
                <w:bCs/>
                <w:color w:val="000000" w:themeColor="text1"/>
                <w:sz w:val="24"/>
                <w:lang w:val="en"/>
                <w14:textFill>
                  <w14:solidFill>
                    <w14:schemeClr w14:val="tx1"/>
                  </w14:solidFill>
                </w14:textFill>
              </w:rPr>
              <w:t>③</w:t>
            </w:r>
            <w:r>
              <w:rPr>
                <w:rFonts w:ascii="仿宋" w:hAnsi="仿宋" w:eastAsia="仿宋" w:cs="仿宋"/>
                <w:bCs/>
                <w:color w:val="000000" w:themeColor="text1"/>
                <w:sz w:val="24"/>
                <w:lang w:val="en"/>
                <w14:textFill>
                  <w14:solidFill>
                    <w14:schemeClr w14:val="tx1"/>
                  </w14:solidFill>
                </w14:textFill>
              </w:rPr>
              <w:fldChar w:fldCharType="end"/>
            </w:r>
            <w:r>
              <w:rPr>
                <w:rFonts w:hint="eastAsia" w:ascii="仿宋" w:hAnsi="仿宋" w:eastAsia="仿宋" w:cs="仿宋"/>
                <w:bCs/>
                <w:color w:val="000000" w:themeColor="text1"/>
                <w:sz w:val="24"/>
                <w:lang w:val="en"/>
                <w14:textFill>
                  <w14:solidFill>
                    <w14:schemeClr w14:val="tx1"/>
                  </w14:solidFill>
                </w14:textFill>
              </w:rPr>
              <w:t>省厅申请登记表；</w:t>
            </w:r>
          </w:p>
          <w:p>
            <w:pPr>
              <w:widowControl/>
              <w:snapToGrid w:val="0"/>
              <w:spacing w:line="200" w:lineRule="atLeast"/>
              <w:textAlignment w:val="center"/>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lang w:eastAsia="zh-CN"/>
                <w14:textFill>
                  <w14:solidFill>
                    <w14:schemeClr w14:val="tx1"/>
                  </w14:solidFill>
                </w14:textFill>
              </w:rPr>
              <w:t>竞买人</w:t>
            </w:r>
            <w:r>
              <w:rPr>
                <w:rFonts w:hint="eastAsia" w:ascii="仿宋" w:hAnsi="仿宋" w:eastAsia="仿宋" w:cs="仿宋"/>
                <w:bCs/>
                <w:color w:val="000000" w:themeColor="text1"/>
                <w:sz w:val="24"/>
                <w:lang w:val="en"/>
                <w14:textFill>
                  <w14:solidFill>
                    <w14:schemeClr w14:val="tx1"/>
                  </w14:solidFill>
                </w14:textFill>
              </w:rPr>
              <w:t>凭CA数字证书登录省公共资源交易中心补充耕地指标</w:t>
            </w:r>
            <w:r>
              <w:rPr>
                <w:rFonts w:hint="eastAsia" w:ascii="仿宋" w:hAnsi="仿宋" w:eastAsia="仿宋" w:cs="仿宋"/>
                <w:bCs/>
                <w:color w:val="000000" w:themeColor="text1"/>
                <w:sz w:val="24"/>
                <w:lang w:val="en" w:eastAsia="zh-CN"/>
                <w14:textFill>
                  <w14:solidFill>
                    <w14:schemeClr w14:val="tx1"/>
                  </w14:solidFill>
                </w14:textFill>
              </w:rPr>
              <w:t>交易</w:t>
            </w:r>
            <w:r>
              <w:rPr>
                <w:rFonts w:hint="eastAsia" w:ascii="仿宋" w:hAnsi="仿宋" w:eastAsia="仿宋" w:cs="仿宋"/>
                <w:bCs/>
                <w:color w:val="000000" w:themeColor="text1"/>
                <w:sz w:val="24"/>
                <w:lang w:val="en"/>
                <w14:textFill>
                  <w14:solidFill>
                    <w14:schemeClr w14:val="tx1"/>
                  </w14:solidFill>
                </w14:textFill>
              </w:rPr>
              <w:t>系统</w:t>
            </w:r>
            <w:r>
              <w:rPr>
                <w:rFonts w:hint="default" w:ascii="仿宋" w:hAnsi="仿宋" w:eastAsia="仿宋" w:cs="仿宋"/>
                <w:bCs/>
                <w:color w:val="000000" w:themeColor="text1"/>
                <w:sz w:val="24"/>
                <w:lang w:val="en"/>
                <w14:textFill>
                  <w14:solidFill>
                    <w14:schemeClr w14:val="tx1"/>
                  </w14:solidFill>
                </w14:textFill>
              </w:rPr>
              <w:t>,</w:t>
            </w:r>
            <w:r>
              <w:rPr>
                <w:rFonts w:hint="eastAsia" w:ascii="仿宋" w:hAnsi="仿宋" w:eastAsia="仿宋" w:cs="仿宋"/>
                <w:bCs/>
                <w:color w:val="000000" w:themeColor="text1"/>
                <w:sz w:val="24"/>
                <w:lang w:val="en" w:eastAsia="zh-CN"/>
                <w14:textFill>
                  <w14:solidFill>
                    <w14:schemeClr w14:val="tx1"/>
                  </w14:solidFill>
                </w14:textFill>
              </w:rPr>
              <w:t>在线</w:t>
            </w:r>
            <w:r>
              <w:rPr>
                <w:rFonts w:hint="eastAsia" w:ascii="仿宋" w:hAnsi="仿宋" w:eastAsia="仿宋" w:cs="仿宋"/>
                <w:bCs/>
                <w:color w:val="000000" w:themeColor="text1"/>
                <w:sz w:val="24"/>
                <w:lang w:eastAsia="zh-CN"/>
                <w14:textFill>
                  <w14:solidFill>
                    <w14:schemeClr w14:val="tx1"/>
                  </w14:solidFill>
                </w14:textFill>
              </w:rPr>
              <w:t>提交《绑定缴纳竞买保证金账户申请书》，通过审核后获得竞买资格。</w:t>
            </w:r>
          </w:p>
        </w:tc>
        <w:tc>
          <w:tcPr>
            <w:tcW w:w="530" w:type="pct"/>
            <w:shd w:val="clear" w:color="auto" w:fill="auto"/>
            <w:vAlign w:val="center"/>
          </w:tcPr>
          <w:p>
            <w:pPr>
              <w:widowControl/>
              <w:snapToGrid w:val="0"/>
              <w:spacing w:line="200" w:lineRule="atLeast"/>
              <w:jc w:val="center"/>
              <w:textAlignment w:val="center"/>
              <w:rPr>
                <w:rFonts w:hint="eastAsia" w:ascii="仿宋" w:hAnsi="仿宋" w:eastAsia="仿宋" w:cs="仿宋"/>
                <w:color w:val="000000" w:themeColor="text1"/>
                <w:spacing w:val="7"/>
                <w:sz w:val="24"/>
                <w14:textFill>
                  <w14:solidFill>
                    <w14:schemeClr w14:val="tx1"/>
                  </w14:solidFill>
                </w14:textFill>
              </w:rPr>
            </w:pPr>
            <w:r>
              <w:rPr>
                <w:rFonts w:hint="eastAsia" w:ascii="仿宋" w:hAnsi="仿宋" w:eastAsia="仿宋" w:cs="仿宋"/>
                <w:color w:val="000000" w:themeColor="text1"/>
                <w:spacing w:val="7"/>
                <w:sz w:val="24"/>
                <w:lang w:eastAsia="zh-CN"/>
                <w14:textFill>
                  <w14:solidFill>
                    <w14:schemeClr w14:val="tx1"/>
                  </w14:solidFill>
                </w14:textFill>
              </w:rPr>
              <w:t>转让</w:t>
            </w:r>
            <w:r>
              <w:rPr>
                <w:rFonts w:hint="eastAsia" w:ascii="仿宋" w:hAnsi="仿宋" w:eastAsia="仿宋" w:cs="仿宋"/>
                <w:color w:val="000000" w:themeColor="text1"/>
                <w:spacing w:val="7"/>
                <w:sz w:val="24"/>
                <w14:textFill>
                  <w14:solidFill>
                    <w14:schemeClr w14:val="tx1"/>
                  </w14:solidFill>
                </w14:textFill>
              </w:rPr>
              <w:t>人</w:t>
            </w:r>
          </w:p>
          <w:p>
            <w:pPr>
              <w:widowControl/>
              <w:snapToGrid w:val="0"/>
              <w:spacing w:line="200" w:lineRule="atLeast"/>
              <w:jc w:val="center"/>
              <w:textAlignment w:val="center"/>
              <w:rPr>
                <w:rFonts w:hint="eastAsia" w:ascii="仿宋" w:hAnsi="仿宋" w:eastAsia="仿宋" w:cs="仿宋"/>
                <w:color w:val="000000" w:themeColor="text1"/>
                <w:spacing w:val="7"/>
                <w:sz w:val="24"/>
                <w:lang w:eastAsia="zh-CN"/>
                <w14:textFill>
                  <w14:solidFill>
                    <w14:schemeClr w14:val="tx1"/>
                  </w14:solidFill>
                </w14:textFill>
              </w:rPr>
            </w:pPr>
            <w:r>
              <w:rPr>
                <w:rFonts w:hint="eastAsia" w:ascii="仿宋" w:hAnsi="仿宋" w:eastAsia="仿宋" w:cs="仿宋"/>
                <w:color w:val="000000" w:themeColor="text1"/>
                <w:spacing w:val="7"/>
                <w:sz w:val="24"/>
                <w:lang w:eastAsia="zh-CN"/>
                <w14:textFill>
                  <w14:solidFill>
                    <w14:schemeClr w14:val="tx1"/>
                  </w14:solidFill>
                </w14:textFill>
              </w:rPr>
              <w:t>竞买人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281" w:type="pct"/>
            <w:vMerge w:val="continue"/>
            <w:vAlign w:val="center"/>
          </w:tcPr>
          <w:p>
            <w:pPr>
              <w:ind w:firstLine="240" w:firstLineChars="100"/>
              <w:rPr>
                <w:rFonts w:ascii="仿宋" w:hAnsi="仿宋" w:eastAsia="仿宋" w:cs="仿宋"/>
                <w:sz w:val="24"/>
              </w:rPr>
            </w:pPr>
          </w:p>
        </w:tc>
        <w:tc>
          <w:tcPr>
            <w:tcW w:w="164" w:type="pct"/>
            <w:vMerge w:val="continue"/>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p>
        </w:tc>
        <w:tc>
          <w:tcPr>
            <w:tcW w:w="630" w:type="pct"/>
            <w:vMerge w:val="continue"/>
            <w:vAlign w:val="center"/>
          </w:tcPr>
          <w:p>
            <w:pPr>
              <w:widowControl/>
              <w:tabs>
                <w:tab w:val="left" w:pos="1707"/>
              </w:tabs>
              <w:snapToGrid w:val="0"/>
              <w:spacing w:line="200" w:lineRule="atLeast"/>
              <w:ind w:firstLine="720" w:firstLineChars="300"/>
              <w:textAlignment w:val="center"/>
              <w:rPr>
                <w:rFonts w:ascii="仿宋" w:hAnsi="仿宋" w:eastAsia="仿宋" w:cs="仿宋"/>
                <w:kern w:val="0"/>
                <w:sz w:val="24"/>
                <w:lang w:bidi="ar"/>
              </w:rPr>
            </w:pPr>
          </w:p>
        </w:tc>
        <w:tc>
          <w:tcPr>
            <w:tcW w:w="1150" w:type="pct"/>
            <w:shd w:val="clear" w:color="auto" w:fill="auto"/>
            <w:vAlign w:val="center"/>
          </w:tcPr>
          <w:p>
            <w:pPr>
              <w:widowControl/>
              <w:snapToGrid w:val="0"/>
              <w:spacing w:line="200" w:lineRule="atLeast"/>
              <w:jc w:val="left"/>
              <w:textAlignment w:val="center"/>
              <w:rPr>
                <w:rFonts w:hint="eastAsia" w:ascii="仿宋" w:hAnsi="仿宋" w:eastAsia="仿宋" w:cs="仿宋"/>
                <w:sz w:val="24"/>
                <w:lang w:eastAsia="zh-CN"/>
              </w:rPr>
            </w:pPr>
            <w:r>
              <w:rPr>
                <w:rFonts w:hint="eastAsia"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eastAsia="zh-CN" w:bidi="ar"/>
                <w14:textFill>
                  <w14:solidFill>
                    <w14:schemeClr w14:val="tx1"/>
                  </w14:solidFill>
                </w14:textFill>
              </w:rPr>
              <w:t>核对</w:t>
            </w:r>
            <w:r>
              <w:rPr>
                <w:rStyle w:val="10"/>
                <w:rFonts w:hint="eastAsia" w:ascii="仿宋" w:hAnsi="仿宋" w:eastAsia="仿宋" w:cs="仿宋"/>
                <w:color w:val="000000" w:themeColor="text1"/>
                <w:sz w:val="24"/>
                <w:szCs w:val="24"/>
                <w:lang w:eastAsia="zh-CN" w:bidi="ar"/>
                <w14:textFill>
                  <w14:solidFill>
                    <w14:schemeClr w14:val="tx1"/>
                  </w14:solidFill>
                </w14:textFill>
              </w:rPr>
              <w:t>委托资料</w:t>
            </w:r>
          </w:p>
        </w:tc>
        <w:tc>
          <w:tcPr>
            <w:tcW w:w="2243" w:type="pct"/>
            <w:shd w:val="clear" w:color="auto" w:fill="auto"/>
            <w:vAlign w:val="center"/>
          </w:tcPr>
          <w:p>
            <w:pPr>
              <w:widowControl/>
              <w:snapToGrid w:val="0"/>
              <w:spacing w:line="200" w:lineRule="atLeast"/>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1、交易中心在收到交易委托</w:t>
            </w: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个工作日内完成信息核对，符合条件予以受理；</w:t>
            </w:r>
          </w:p>
          <w:p>
            <w:pPr>
              <w:widowControl/>
              <w:snapToGrid w:val="0"/>
              <w:spacing w:line="200" w:lineRule="atLeast"/>
              <w:textAlignment w:val="center"/>
              <w:rPr>
                <w:rFonts w:hint="eastAsia" w:ascii="仿宋" w:hAnsi="仿宋" w:eastAsia="仿宋" w:cs="仿宋"/>
                <w:color w:val="000000" w:themeColor="text1"/>
                <w:spacing w:val="7"/>
                <w:sz w:val="24"/>
                <w:lang w:val="en-US"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2、对不符合条件的交易委托退回至委托人重新填写。</w:t>
            </w:r>
          </w:p>
        </w:tc>
        <w:tc>
          <w:tcPr>
            <w:tcW w:w="530" w:type="pct"/>
            <w:shd w:val="clear" w:color="auto" w:fill="auto"/>
            <w:vAlign w:val="center"/>
          </w:tcPr>
          <w:p>
            <w:pPr>
              <w:widowControl/>
              <w:snapToGrid w:val="0"/>
              <w:spacing w:line="200" w:lineRule="atLeast"/>
              <w:jc w:val="center"/>
              <w:textAlignment w:val="center"/>
              <w:rPr>
                <w:rFonts w:ascii="仿宋" w:hAnsi="仿宋" w:eastAsia="仿宋" w:cs="仿宋"/>
                <w:spacing w:val="7"/>
                <w:sz w:val="24"/>
              </w:rPr>
            </w:pPr>
            <w:r>
              <w:rPr>
                <w:rFonts w:hint="eastAsia" w:ascii="仿宋" w:hAnsi="仿宋" w:eastAsia="仿宋" w:cs="仿宋"/>
                <w:spacing w:val="7"/>
                <w:sz w:val="24"/>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50" w:hRule="atLeast"/>
          <w:jc w:val="center"/>
        </w:trPr>
        <w:tc>
          <w:tcPr>
            <w:tcW w:w="281" w:type="pct"/>
            <w:vMerge w:val="continue"/>
            <w:vAlign w:val="center"/>
          </w:tcPr>
          <w:p>
            <w:pPr>
              <w:widowControl/>
              <w:snapToGrid w:val="0"/>
              <w:spacing w:line="200" w:lineRule="atLeast"/>
              <w:jc w:val="center"/>
              <w:rPr>
                <w:rFonts w:ascii="仿宋" w:hAnsi="仿宋" w:eastAsia="仿宋" w:cs="仿宋"/>
                <w:sz w:val="24"/>
              </w:rPr>
            </w:pPr>
          </w:p>
        </w:tc>
        <w:tc>
          <w:tcPr>
            <w:tcW w:w="164"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630"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1150" w:type="pct"/>
            <w:shd w:val="clear" w:color="auto" w:fill="auto"/>
            <w:vAlign w:val="center"/>
          </w:tcPr>
          <w:p>
            <w:pPr>
              <w:widowControl/>
              <w:snapToGrid w:val="0"/>
              <w:spacing w:line="200" w:lineRule="atLeast"/>
              <w:jc w:val="left"/>
              <w:textAlignment w:val="center"/>
              <w:rPr>
                <w:rFonts w:ascii="仿宋" w:hAnsi="仿宋" w:eastAsia="仿宋" w:cs="仿宋"/>
                <w:sz w:val="24"/>
              </w:rPr>
            </w:pPr>
            <w:r>
              <w:rPr>
                <w:rFonts w:hint="eastAsia" w:ascii="仿宋" w:hAnsi="仿宋" w:eastAsia="仿宋" w:cs="仿宋"/>
                <w:sz w:val="24"/>
              </w:rPr>
              <w:t>3.编辑、发布交易公告</w:t>
            </w:r>
          </w:p>
        </w:tc>
        <w:tc>
          <w:tcPr>
            <w:tcW w:w="2243" w:type="pct"/>
            <w:shd w:val="clear" w:color="auto" w:fill="auto"/>
            <w:vAlign w:val="center"/>
          </w:tcPr>
          <w:p>
            <w:pPr>
              <w:snapToGrid w:val="0"/>
              <w:spacing w:line="200" w:lineRule="atLeast"/>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 w:eastAsia="zh-CN"/>
                <w14:textFill>
                  <w14:solidFill>
                    <w14:schemeClr w14:val="tx1"/>
                  </w14:solidFill>
                </w14:textFill>
              </w:rPr>
              <w:t>经办人</w:t>
            </w:r>
            <w:r>
              <w:rPr>
                <w:rFonts w:hint="eastAsia" w:ascii="仿宋" w:hAnsi="仿宋" w:eastAsia="仿宋" w:cs="仿宋"/>
                <w:bCs/>
                <w:color w:val="000000" w:themeColor="text1"/>
                <w:sz w:val="24"/>
                <w14:textFill>
                  <w14:solidFill>
                    <w14:schemeClr w14:val="tx1"/>
                  </w14:solidFill>
                </w14:textFill>
              </w:rPr>
              <w:t>根据</w:t>
            </w:r>
            <w:r>
              <w:rPr>
                <w:rFonts w:hint="eastAsia" w:ascii="仿宋" w:hAnsi="仿宋" w:eastAsia="仿宋" w:cs="仿宋"/>
                <w:bCs/>
                <w:color w:val="000000" w:themeColor="text1"/>
                <w:sz w:val="24"/>
                <w:lang w:eastAsia="zh-CN"/>
                <w14:textFill>
                  <w14:solidFill>
                    <w14:schemeClr w14:val="tx1"/>
                  </w14:solidFill>
                </w14:textFill>
              </w:rPr>
              <w:t>委托人提供的交易委托资料</w:t>
            </w:r>
            <w:r>
              <w:rPr>
                <w:rFonts w:hint="eastAsia" w:ascii="仿宋" w:hAnsi="仿宋" w:eastAsia="仿宋" w:cs="仿宋"/>
                <w:bCs/>
                <w:color w:val="000000" w:themeColor="text1"/>
                <w:sz w:val="24"/>
                <w14:textFill>
                  <w14:solidFill>
                    <w14:schemeClr w14:val="tx1"/>
                  </w14:solidFill>
                </w14:textFill>
              </w:rPr>
              <w:t>编辑</w:t>
            </w:r>
            <w:r>
              <w:rPr>
                <w:rFonts w:hint="eastAsia" w:ascii="仿宋" w:hAnsi="仿宋" w:eastAsia="仿宋" w:cs="仿宋"/>
                <w:bCs/>
                <w:color w:val="000000" w:themeColor="text1"/>
                <w:sz w:val="24"/>
                <w:lang w:eastAsia="zh-CN"/>
                <w14:textFill>
                  <w14:solidFill>
                    <w14:schemeClr w14:val="tx1"/>
                  </w14:solidFill>
                </w14:textFill>
              </w:rPr>
              <w:t>交易方案、</w:t>
            </w:r>
            <w:r>
              <w:rPr>
                <w:rFonts w:hint="eastAsia" w:ascii="仿宋" w:hAnsi="仿宋" w:eastAsia="仿宋" w:cs="仿宋"/>
                <w:bCs/>
                <w:color w:val="000000" w:themeColor="text1"/>
                <w:sz w:val="24"/>
                <w14:textFill>
                  <w14:solidFill>
                    <w14:schemeClr w14:val="tx1"/>
                  </w14:solidFill>
                </w14:textFill>
              </w:rPr>
              <w:t>交易公告，设置挂牌开始与截止时间；</w:t>
            </w:r>
          </w:p>
          <w:p>
            <w:pPr>
              <w:snapToGrid w:val="0"/>
              <w:spacing w:line="200" w:lineRule="atLeast"/>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2、自项目受理后</w:t>
            </w:r>
            <w:r>
              <w:rPr>
                <w:rFonts w:hint="eastAsia" w:ascii="仿宋" w:hAnsi="仿宋" w:eastAsia="仿宋" w:cs="仿宋"/>
                <w:bCs/>
                <w:color w:val="000000" w:themeColor="text1"/>
                <w:sz w:val="24"/>
                <w:lang w:val="en"/>
                <w14:textFill>
                  <w14:solidFill>
                    <w14:schemeClr w14:val="tx1"/>
                  </w14:solidFill>
                </w14:textFill>
              </w:rPr>
              <w:t>起</w:t>
            </w:r>
            <w:r>
              <w:rPr>
                <w:rFonts w:hint="eastAsia" w:ascii="仿宋" w:hAnsi="仿宋" w:eastAsia="仿宋" w:cs="仿宋"/>
                <w:bCs/>
                <w:color w:val="000000" w:themeColor="text1"/>
                <w:sz w:val="24"/>
                <w:lang w:val="en-US" w:eastAsia="zh-CN"/>
                <w14:textFill>
                  <w14:solidFill>
                    <w14:schemeClr w14:val="tx1"/>
                  </w14:solidFill>
                </w14:textFill>
              </w:rPr>
              <w:t>10</w:t>
            </w:r>
            <w:r>
              <w:rPr>
                <w:rFonts w:hint="eastAsia" w:ascii="仿宋" w:hAnsi="仿宋" w:eastAsia="仿宋" w:cs="仿宋"/>
                <w:bCs/>
                <w:color w:val="000000" w:themeColor="text1"/>
                <w:sz w:val="24"/>
                <w:lang w:val="en"/>
                <w14:textFill>
                  <w14:solidFill>
                    <w14:schemeClr w14:val="tx1"/>
                  </w14:solidFill>
                </w14:textFill>
              </w:rPr>
              <w:t>个工作日内，</w:t>
            </w:r>
            <w:r>
              <w:rPr>
                <w:rFonts w:hint="eastAsia" w:ascii="仿宋" w:hAnsi="仿宋" w:eastAsia="仿宋" w:cs="仿宋"/>
                <w:bCs/>
                <w:color w:val="000000" w:themeColor="text1"/>
                <w:sz w:val="24"/>
                <w14:textFill>
                  <w14:solidFill>
                    <w14:schemeClr w14:val="tx1"/>
                  </w14:solidFill>
                </w14:textFill>
              </w:rPr>
              <w:t>于湖南省公共资源交易服务平台自动发布</w:t>
            </w:r>
            <w:bookmarkStart w:id="0" w:name="_GoBack"/>
            <w:bookmarkEnd w:id="0"/>
            <w:r>
              <w:rPr>
                <w:rFonts w:hint="eastAsia" w:ascii="仿宋" w:hAnsi="仿宋" w:eastAsia="仿宋" w:cs="仿宋"/>
                <w:bCs/>
                <w:color w:val="000000" w:themeColor="text1"/>
                <w:sz w:val="24"/>
                <w14:textFill>
                  <w14:solidFill>
                    <w14:schemeClr w14:val="tx1"/>
                  </w14:solidFill>
                </w14:textFill>
              </w:rPr>
              <w:t>交易公告，公告发布的挂牌时间</w:t>
            </w:r>
            <w:r>
              <w:rPr>
                <w:rFonts w:hint="eastAsia" w:ascii="仿宋" w:hAnsi="仿宋" w:eastAsia="仿宋" w:cs="仿宋"/>
                <w:bCs/>
                <w:color w:val="000000" w:themeColor="text1"/>
                <w:sz w:val="24"/>
                <w:lang w:eastAsia="zh-CN"/>
                <w14:textFill>
                  <w14:solidFill>
                    <w14:schemeClr w14:val="tx1"/>
                  </w14:solidFill>
                </w14:textFill>
              </w:rPr>
              <w:t>转让人</w:t>
            </w:r>
            <w:r>
              <w:rPr>
                <w:rFonts w:hint="eastAsia" w:ascii="仿宋" w:hAnsi="仿宋" w:eastAsia="仿宋" w:cs="仿宋"/>
                <w:bCs/>
                <w:color w:val="000000" w:themeColor="text1"/>
                <w:sz w:val="24"/>
                <w14:textFill>
                  <w14:solidFill>
                    <w14:schemeClr w14:val="tx1"/>
                  </w14:solidFill>
                </w14:textFill>
              </w:rPr>
              <w:t>不得少于</w:t>
            </w:r>
            <w:r>
              <w:rPr>
                <w:rFonts w:hint="eastAsia" w:ascii="仿宋" w:hAnsi="仿宋" w:eastAsia="仿宋" w:cs="仿宋"/>
                <w:bCs/>
                <w:color w:val="000000" w:themeColor="text1"/>
                <w:sz w:val="24"/>
                <w:lang w:val="en-US" w:eastAsia="zh-CN"/>
                <w14:textFill>
                  <w14:solidFill>
                    <w14:schemeClr w14:val="tx1"/>
                  </w14:solidFill>
                </w14:textFill>
              </w:rPr>
              <w:t>22</w:t>
            </w:r>
            <w:r>
              <w:rPr>
                <w:rFonts w:hint="eastAsia" w:ascii="仿宋" w:hAnsi="仿宋" w:eastAsia="仿宋" w:cs="仿宋"/>
                <w:bCs/>
                <w:color w:val="000000" w:themeColor="text1"/>
                <w:sz w:val="24"/>
                <w14:textFill>
                  <w14:solidFill>
                    <w14:schemeClr w14:val="tx1"/>
                  </w14:solidFill>
                </w14:textFill>
              </w:rPr>
              <w:t>日。</w:t>
            </w:r>
          </w:p>
        </w:tc>
        <w:tc>
          <w:tcPr>
            <w:tcW w:w="530" w:type="pct"/>
            <w:shd w:val="clear" w:color="auto" w:fill="auto"/>
            <w:vAlign w:val="center"/>
          </w:tcPr>
          <w:p>
            <w:pPr>
              <w:snapToGrid w:val="0"/>
              <w:spacing w:line="200" w:lineRule="atLeast"/>
              <w:jc w:val="center"/>
              <w:rPr>
                <w:rFonts w:ascii="仿宋" w:hAnsi="仿宋" w:eastAsia="仿宋" w:cs="仿宋"/>
                <w:bCs/>
                <w:sz w:val="24"/>
              </w:rPr>
            </w:pPr>
            <w:r>
              <w:rPr>
                <w:rFonts w:hint="eastAsia" w:ascii="仿宋" w:hAnsi="仿宋" w:eastAsia="仿宋" w:cs="仿宋"/>
                <w:bCs/>
                <w:sz w:val="24"/>
                <w:lang w:val="en"/>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81" w:type="pct"/>
            <w:vMerge w:val="continue"/>
            <w:vAlign w:val="center"/>
          </w:tcPr>
          <w:p>
            <w:pPr>
              <w:widowControl/>
              <w:snapToGrid w:val="0"/>
              <w:spacing w:line="200" w:lineRule="atLeast"/>
              <w:jc w:val="center"/>
              <w:rPr>
                <w:rFonts w:ascii="仿宋" w:hAnsi="仿宋" w:eastAsia="仿宋" w:cs="仿宋"/>
                <w:sz w:val="24"/>
              </w:rPr>
            </w:pPr>
          </w:p>
        </w:tc>
        <w:tc>
          <w:tcPr>
            <w:tcW w:w="164"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630"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1150" w:type="pct"/>
            <w:shd w:val="clear" w:color="auto" w:fill="auto"/>
            <w:vAlign w:val="center"/>
          </w:tcPr>
          <w:p>
            <w:pPr>
              <w:widowControl/>
              <w:snapToGrid w:val="0"/>
              <w:spacing w:line="200" w:lineRule="atLeast"/>
              <w:jc w:val="left"/>
              <w:textAlignment w:val="center"/>
              <w:rPr>
                <w:rFonts w:ascii="仿宋" w:hAnsi="仿宋" w:eastAsia="仿宋" w:cs="仿宋"/>
                <w:sz w:val="24"/>
                <w:highlight w:val="lightGray"/>
              </w:rPr>
            </w:pPr>
            <w:r>
              <w:rPr>
                <w:rFonts w:hint="eastAsia" w:ascii="仿宋" w:hAnsi="仿宋" w:eastAsia="仿宋" w:cs="仿宋"/>
                <w:sz w:val="24"/>
              </w:rPr>
              <w:t>4、公告变更</w:t>
            </w:r>
          </w:p>
        </w:tc>
        <w:tc>
          <w:tcPr>
            <w:tcW w:w="2243" w:type="pct"/>
            <w:shd w:val="clear" w:color="auto" w:fill="auto"/>
            <w:vAlign w:val="center"/>
          </w:tcPr>
          <w:p>
            <w:pPr>
              <w:widowControl/>
              <w:snapToGrid w:val="0"/>
              <w:spacing w:line="200" w:lineRule="atLeast"/>
              <w:jc w:val="left"/>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1、挂牌公告发布后，原则上不能随意变更；</w:t>
            </w:r>
          </w:p>
          <w:p>
            <w:pPr>
              <w:widowControl/>
              <w:snapToGrid w:val="0"/>
              <w:spacing w:line="200" w:lineRule="atLeast"/>
              <w:jc w:val="left"/>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2、确需变更的，可通过系统“公告变更”菜单提交变更申请；</w:t>
            </w:r>
          </w:p>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color w:val="000000" w:themeColor="text1"/>
                <w:sz w:val="24"/>
                <w14:textFill>
                  <w14:solidFill>
                    <w14:schemeClr w14:val="tx1"/>
                  </w14:solidFill>
                </w14:textFill>
              </w:rPr>
              <w:t>3、交易中心在收到变更申请后2个工</w:t>
            </w:r>
            <w:r>
              <w:rPr>
                <w:rFonts w:hint="eastAsia" w:ascii="仿宋" w:hAnsi="仿宋" w:eastAsia="仿宋" w:cs="仿宋"/>
                <w:bCs/>
                <w:sz w:val="24"/>
              </w:rPr>
              <w:t>作日内发布变更后的公告内容。</w:t>
            </w:r>
          </w:p>
        </w:tc>
        <w:tc>
          <w:tcPr>
            <w:tcW w:w="530" w:type="pct"/>
            <w:shd w:val="clear" w:color="auto" w:fill="auto"/>
            <w:vAlign w:val="center"/>
          </w:tcPr>
          <w:p>
            <w:pPr>
              <w:widowControl/>
              <w:snapToGrid w:val="0"/>
              <w:spacing w:line="200" w:lineRule="atLeast"/>
              <w:jc w:val="center"/>
              <w:textAlignment w:val="center"/>
              <w:rPr>
                <w:rFonts w:ascii="仿宋" w:hAnsi="仿宋" w:eastAsia="仿宋" w:cs="仿宋"/>
                <w:bCs/>
                <w:sz w:val="24"/>
              </w:rPr>
            </w:pPr>
            <w:r>
              <w:rPr>
                <w:rFonts w:hint="eastAsia" w:ascii="仿宋" w:hAnsi="仿宋" w:eastAsia="仿宋" w:cs="仿宋"/>
                <w:bCs/>
                <w:sz w:val="24"/>
                <w:lang w:val="en"/>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281" w:type="pct"/>
            <w:vAlign w:val="center"/>
          </w:tcPr>
          <w:p>
            <w:pPr>
              <w:widowControl/>
              <w:snapToGrid w:val="0"/>
              <w:spacing w:line="200" w:lineRule="atLeast"/>
              <w:jc w:val="center"/>
              <w:textAlignment w:val="center"/>
              <w:rPr>
                <w:rFonts w:ascii="仿宋" w:hAnsi="仿宋" w:eastAsia="仿宋" w:cs="仿宋"/>
                <w:sz w:val="24"/>
              </w:rPr>
            </w:pPr>
            <w:r>
              <w:rPr>
                <w:rFonts w:hint="eastAsia" w:ascii="仿宋" w:hAnsi="仿宋" w:eastAsia="仿宋" w:cs="仿宋"/>
                <w:sz w:val="24"/>
              </w:rPr>
              <w:t>挂牌中</w:t>
            </w:r>
          </w:p>
        </w:tc>
        <w:tc>
          <w:tcPr>
            <w:tcW w:w="164" w:type="pct"/>
            <w:vAlign w:val="center"/>
          </w:tcPr>
          <w:p>
            <w:pPr>
              <w:widowControl/>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二</w:t>
            </w:r>
          </w:p>
        </w:tc>
        <w:tc>
          <w:tcPr>
            <w:tcW w:w="630" w:type="pct"/>
            <w:vAlign w:val="center"/>
          </w:tcPr>
          <w:p>
            <w:pPr>
              <w:widowControl/>
              <w:snapToGrid w:val="0"/>
              <w:spacing w:line="200"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挂牌</w:t>
            </w:r>
            <w:r>
              <w:rPr>
                <w:rFonts w:hint="eastAsia" w:ascii="仿宋" w:hAnsi="仿宋" w:eastAsia="仿宋" w:cs="仿宋"/>
                <w:color w:val="000000" w:themeColor="text1"/>
                <w:sz w:val="24"/>
                <w:lang w:eastAsia="zh-CN"/>
                <w14:textFill>
                  <w14:solidFill>
                    <w14:schemeClr w14:val="tx1"/>
                  </w14:solidFill>
                </w14:textFill>
              </w:rPr>
              <w:t>交易</w:t>
            </w:r>
          </w:p>
        </w:tc>
        <w:tc>
          <w:tcPr>
            <w:tcW w:w="1150" w:type="pct"/>
            <w:vAlign w:val="center"/>
          </w:tcPr>
          <w:p>
            <w:pPr>
              <w:widowControl/>
              <w:snapToGrid w:val="0"/>
              <w:spacing w:line="200" w:lineRule="atLeas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
                <w14:textFill>
                  <w14:solidFill>
                    <w14:schemeClr w14:val="tx1"/>
                  </w14:solidFill>
                </w14:textFill>
              </w:rPr>
              <w:t>.</w:t>
            </w:r>
            <w:r>
              <w:rPr>
                <w:rFonts w:hint="eastAsia" w:ascii="仿宋" w:hAnsi="仿宋" w:eastAsia="仿宋" w:cs="仿宋"/>
                <w:color w:val="000000" w:themeColor="text1"/>
                <w:sz w:val="24"/>
                <w:lang w:val="en" w:eastAsia="zh-CN"/>
                <w14:textFill>
                  <w14:solidFill>
                    <w14:schemeClr w14:val="tx1"/>
                  </w14:solidFill>
                </w14:textFill>
              </w:rPr>
              <w:t>网上</w:t>
            </w:r>
            <w:r>
              <w:rPr>
                <w:rFonts w:hint="eastAsia" w:ascii="仿宋" w:hAnsi="仿宋" w:eastAsia="仿宋" w:cs="仿宋"/>
                <w:color w:val="000000" w:themeColor="text1"/>
                <w:sz w:val="24"/>
                <w14:textFill>
                  <w14:solidFill>
                    <w14:schemeClr w14:val="tx1"/>
                  </w14:solidFill>
                </w14:textFill>
              </w:rPr>
              <w:t>挂牌</w:t>
            </w:r>
            <w:r>
              <w:rPr>
                <w:rFonts w:hint="eastAsia" w:ascii="仿宋" w:hAnsi="仿宋" w:eastAsia="仿宋" w:cs="仿宋"/>
                <w:color w:val="000000" w:themeColor="text1"/>
                <w:sz w:val="24"/>
                <w:lang w:eastAsia="zh-CN"/>
                <w14:textFill>
                  <w14:solidFill>
                    <w14:schemeClr w14:val="tx1"/>
                  </w14:solidFill>
                </w14:textFill>
              </w:rPr>
              <w:t>交易</w:t>
            </w:r>
          </w:p>
        </w:tc>
        <w:tc>
          <w:tcPr>
            <w:tcW w:w="2243" w:type="pct"/>
            <w:vAlign w:val="center"/>
          </w:tcPr>
          <w:p>
            <w:pPr>
              <w:snapToGrid w:val="0"/>
              <w:spacing w:line="200" w:lineRule="atLeast"/>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sz w:val="24"/>
              </w:rPr>
              <w:t>1、交易系</w:t>
            </w:r>
            <w:r>
              <w:rPr>
                <w:rFonts w:hint="eastAsia" w:ascii="仿宋" w:hAnsi="仿宋" w:eastAsia="仿宋" w:cs="仿宋"/>
                <w:bCs/>
                <w:color w:val="000000" w:themeColor="text1"/>
                <w:sz w:val="24"/>
                <w14:textFill>
                  <w14:solidFill>
                    <w14:schemeClr w14:val="tx1"/>
                  </w14:solidFill>
                </w14:textFill>
              </w:rPr>
              <w:t>统从</w:t>
            </w:r>
            <w:r>
              <w:rPr>
                <w:rFonts w:hint="eastAsia" w:ascii="仿宋" w:hAnsi="仿宋" w:eastAsia="仿宋" w:cs="仿宋"/>
                <w:bCs/>
                <w:color w:val="000000" w:themeColor="text1"/>
                <w:sz w:val="24"/>
                <w:lang w:eastAsia="zh-CN"/>
                <w14:textFill>
                  <w14:solidFill>
                    <w14:schemeClr w14:val="tx1"/>
                  </w14:solidFill>
                </w14:textFill>
              </w:rPr>
              <w:t>网上</w:t>
            </w:r>
            <w:r>
              <w:rPr>
                <w:rFonts w:hint="eastAsia" w:ascii="仿宋" w:hAnsi="仿宋" w:eastAsia="仿宋" w:cs="仿宋"/>
                <w:bCs/>
                <w:color w:val="000000" w:themeColor="text1"/>
                <w:sz w:val="24"/>
                <w14:textFill>
                  <w14:solidFill>
                    <w14:schemeClr w14:val="tx1"/>
                  </w14:solidFill>
                </w14:textFill>
              </w:rPr>
              <w:t>挂牌</w:t>
            </w:r>
            <w:r>
              <w:rPr>
                <w:rFonts w:hint="eastAsia" w:ascii="仿宋" w:hAnsi="仿宋" w:eastAsia="仿宋" w:cs="仿宋"/>
                <w:bCs/>
                <w:color w:val="000000" w:themeColor="text1"/>
                <w:sz w:val="24"/>
                <w:lang w:eastAsia="zh-CN"/>
                <w14:textFill>
                  <w14:solidFill>
                    <w14:schemeClr w14:val="tx1"/>
                  </w14:solidFill>
                </w14:textFill>
              </w:rPr>
              <w:t>交易</w:t>
            </w:r>
            <w:r>
              <w:rPr>
                <w:rFonts w:hint="eastAsia" w:ascii="仿宋" w:hAnsi="仿宋" w:eastAsia="仿宋" w:cs="仿宋"/>
                <w:bCs/>
                <w:color w:val="000000" w:themeColor="text1"/>
                <w:sz w:val="24"/>
                <w14:textFill>
                  <w14:solidFill>
                    <w14:schemeClr w14:val="tx1"/>
                  </w14:solidFill>
                </w14:textFill>
              </w:rPr>
              <w:t>时间开始接受竞买人的报价；</w:t>
            </w:r>
          </w:p>
          <w:p>
            <w:pPr>
              <w:snapToGrid w:val="0"/>
              <w:spacing w:line="200" w:lineRule="atLeast"/>
              <w:jc w:val="left"/>
              <w:rPr>
                <w:rFonts w:ascii="仿宋" w:hAnsi="仿宋" w:eastAsia="仿宋" w:cs="仿宋"/>
                <w:bCs/>
                <w:sz w:val="24"/>
              </w:rPr>
            </w:pPr>
            <w:r>
              <w:rPr>
                <w:rFonts w:hint="eastAsia" w:ascii="仿宋" w:hAnsi="仿宋" w:eastAsia="仿宋" w:cs="仿宋"/>
                <w:bCs/>
                <w:color w:val="000000" w:themeColor="text1"/>
                <w:sz w:val="24"/>
                <w14:textFill>
                  <w14:solidFill>
                    <w14:schemeClr w14:val="tx1"/>
                  </w14:solidFill>
                </w14:textFill>
              </w:rPr>
              <w:t>2、竞买人登录交易系统，可以在挂牌项目的每一个轮次的竞价时段内进行一轮或多轮报价</w:t>
            </w:r>
            <w:r>
              <w:rPr>
                <w:rFonts w:hint="eastAsia" w:ascii="仿宋" w:hAnsi="仿宋" w:eastAsia="仿宋" w:cs="仿宋"/>
                <w:bCs/>
                <w:sz w:val="24"/>
              </w:rPr>
              <w:t>。所有轮次的报价均是报单价；</w:t>
            </w:r>
          </w:p>
          <w:p>
            <w:pPr>
              <w:snapToGrid w:val="0"/>
              <w:spacing w:line="200" w:lineRule="atLeast"/>
              <w:jc w:val="left"/>
              <w:rPr>
                <w:rFonts w:ascii="仿宋" w:hAnsi="仿宋" w:eastAsia="仿宋" w:cs="仿宋"/>
                <w:bCs/>
                <w:sz w:val="24"/>
              </w:rPr>
            </w:pPr>
            <w:r>
              <w:rPr>
                <w:rFonts w:hint="eastAsia" w:ascii="仿宋" w:hAnsi="仿宋" w:eastAsia="仿宋" w:cs="仿宋"/>
                <w:bCs/>
                <w:sz w:val="24"/>
              </w:rPr>
              <w:t>3、交易系统对符合规定的报价予以确认，显示为当前最高或最低报价，继续接受新的报价；</w:t>
            </w:r>
          </w:p>
          <w:p>
            <w:pPr>
              <w:snapToGrid w:val="0"/>
              <w:spacing w:line="200" w:lineRule="atLeast"/>
              <w:jc w:val="left"/>
              <w:rPr>
                <w:rFonts w:ascii="仿宋" w:hAnsi="仿宋" w:eastAsia="仿宋" w:cs="仿宋"/>
                <w:bCs/>
                <w:sz w:val="24"/>
              </w:rPr>
            </w:pPr>
            <w:r>
              <w:rPr>
                <w:rFonts w:hint="eastAsia" w:ascii="仿宋" w:hAnsi="仿宋" w:eastAsia="仿宋" w:cs="仿宋"/>
                <w:bCs/>
                <w:sz w:val="24"/>
              </w:rPr>
              <w:t>4、竞价时段。挂牌项目每一个轮次的竞价时段包括挂牌期竞价和限时竞价两个时段。</w:t>
            </w:r>
          </w:p>
          <w:p>
            <w:pPr>
              <w:snapToGrid w:val="0"/>
              <w:spacing w:line="200" w:lineRule="atLeast"/>
              <w:jc w:val="left"/>
              <w:rPr>
                <w:rFonts w:ascii="仿宋" w:hAnsi="仿宋" w:eastAsia="仿宋" w:cs="仿宋"/>
                <w:bCs/>
                <w:sz w:val="24"/>
              </w:rPr>
            </w:pPr>
            <w:r>
              <w:rPr>
                <w:rFonts w:hint="eastAsia" w:ascii="仿宋" w:hAnsi="仿宋" w:eastAsia="仿宋" w:cs="仿宋"/>
                <w:bCs/>
                <w:sz w:val="24"/>
              </w:rPr>
              <w:t>（1）挂牌期竞价期。是指在挂牌开始至挂牌截止时段内，竞买人可无次数限制的加价（或减价）报价。</w:t>
            </w:r>
          </w:p>
          <w:p>
            <w:pPr>
              <w:snapToGrid w:val="0"/>
              <w:spacing w:line="200" w:lineRule="atLeast"/>
              <w:jc w:val="left"/>
              <w:rPr>
                <w:rFonts w:ascii="仿宋" w:hAnsi="仿宋" w:eastAsia="仿宋" w:cs="仿宋"/>
                <w:bCs/>
                <w:sz w:val="24"/>
              </w:rPr>
            </w:pPr>
            <w:r>
              <w:rPr>
                <w:rFonts w:hint="eastAsia" w:ascii="仿宋" w:hAnsi="仿宋" w:eastAsia="仿宋" w:cs="仿宋"/>
                <w:bCs/>
                <w:sz w:val="24"/>
              </w:rPr>
              <w:t>（2）限时竞价期。是指挂牌期竞价期结束后，系统即时进入限时竞价期。限时竞价期依次包括时长4分钟的询问期时段和时长4分钟的竞价时段；询问期内只要有人点击“同意”按钮，则立即进入竞价时段；限时时段内只要有新的报价，则进入下一个时长4分钟的竞价时段，依次循环；竞价时段内如没有出现新的报价，则依成交原则成交，本轮次竞价程序结束。</w:t>
            </w:r>
          </w:p>
        </w:tc>
        <w:tc>
          <w:tcPr>
            <w:tcW w:w="530" w:type="pct"/>
            <w:vAlign w:val="center"/>
          </w:tcPr>
          <w:p>
            <w:pPr>
              <w:snapToGrid w:val="0"/>
              <w:spacing w:line="200" w:lineRule="atLeast"/>
              <w:jc w:val="center"/>
              <w:rPr>
                <w:rFonts w:ascii="仿宋" w:hAnsi="仿宋" w:eastAsia="仿宋" w:cs="仿宋"/>
                <w:bCs/>
                <w:sz w:val="24"/>
              </w:rPr>
            </w:pPr>
            <w:r>
              <w:rPr>
                <w:rFonts w:hint="eastAsia" w:ascii="仿宋" w:hAnsi="仿宋" w:eastAsia="仿宋" w:cs="仿宋"/>
                <w:bCs/>
                <w:sz w:val="24"/>
              </w:rPr>
              <w:t>竞买人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1" w:hRule="atLeast"/>
          <w:jc w:val="center"/>
        </w:trPr>
        <w:tc>
          <w:tcPr>
            <w:tcW w:w="281" w:type="pct"/>
            <w:vMerge w:val="restart"/>
            <w:vAlign w:val="center"/>
          </w:tcPr>
          <w:p>
            <w:pPr>
              <w:widowControl/>
              <w:snapToGrid w:val="0"/>
              <w:spacing w:line="200" w:lineRule="atLeast"/>
              <w:jc w:val="center"/>
              <w:textAlignment w:val="center"/>
              <w:rPr>
                <w:rFonts w:hint="eastAsia" w:ascii="仿宋" w:hAnsi="仿宋" w:eastAsia="仿宋" w:cs="仿宋"/>
                <w:sz w:val="24"/>
                <w:lang w:eastAsia="zh-CN"/>
              </w:rPr>
            </w:pPr>
            <w:r>
              <w:rPr>
                <w:rFonts w:hint="eastAsia"/>
              </w:rPr>
              <w:t>挂牌</w:t>
            </w:r>
            <w:r>
              <w:rPr>
                <w:rFonts w:hint="eastAsia"/>
                <w:lang w:eastAsia="zh-CN"/>
              </w:rPr>
              <w:t>后</w:t>
            </w:r>
          </w:p>
        </w:tc>
        <w:tc>
          <w:tcPr>
            <w:tcW w:w="164" w:type="pct"/>
            <w:vMerge w:val="restart"/>
            <w:vAlign w:val="center"/>
          </w:tcPr>
          <w:p>
            <w:pPr>
              <w:widowControl/>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四</w:t>
            </w:r>
          </w:p>
        </w:tc>
        <w:tc>
          <w:tcPr>
            <w:tcW w:w="630" w:type="pct"/>
            <w:vMerge w:val="restart"/>
            <w:vAlign w:val="center"/>
          </w:tcPr>
          <w:p>
            <w:pPr>
              <w:widowControl/>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成交确认</w:t>
            </w:r>
          </w:p>
        </w:tc>
        <w:tc>
          <w:tcPr>
            <w:tcW w:w="1150" w:type="pct"/>
            <w:vAlign w:val="center"/>
          </w:tcPr>
          <w:p>
            <w:pPr>
              <w:widowControl/>
              <w:snapToGrid w:val="0"/>
              <w:spacing w:line="200" w:lineRule="atLeast"/>
              <w:jc w:val="left"/>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确认竞得人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签订</w:t>
            </w:r>
            <w:r>
              <w:rPr>
                <w:rFonts w:hint="eastAsia" w:ascii="仿宋" w:hAnsi="仿宋" w:eastAsia="仿宋" w:cs="仿宋"/>
                <w:bCs/>
                <w:color w:val="000000" w:themeColor="text1"/>
                <w:sz w:val="24"/>
                <w:lang w:eastAsia="zh-CN"/>
                <w14:textFill>
                  <w14:solidFill>
                    <w14:schemeClr w14:val="tx1"/>
                  </w14:solidFill>
                </w14:textFill>
              </w:rPr>
              <w:t>转让合同</w:t>
            </w:r>
          </w:p>
        </w:tc>
        <w:tc>
          <w:tcPr>
            <w:tcW w:w="2243" w:type="pct"/>
            <w:vAlign w:val="center"/>
          </w:tcPr>
          <w:p>
            <w:pPr>
              <w:widowControl/>
              <w:snapToGrid w:val="0"/>
              <w:spacing w:line="200" w:lineRule="atLeast"/>
              <w:jc w:val="left"/>
              <w:textAlignment w:val="center"/>
              <w:rPr>
                <w:rFonts w:hint="default"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sz w:val="24"/>
              </w:rPr>
              <w:t>1、成交</w:t>
            </w:r>
            <w:r>
              <w:rPr>
                <w:rFonts w:hint="eastAsia" w:ascii="仿宋" w:hAnsi="仿宋" w:eastAsia="仿宋" w:cs="仿宋"/>
                <w:bCs/>
                <w:color w:val="000000" w:themeColor="text1"/>
                <w:sz w:val="24"/>
                <w14:textFill>
                  <w14:solidFill>
                    <w14:schemeClr w14:val="tx1"/>
                  </w14:solidFill>
                </w14:textFill>
              </w:rPr>
              <w:t>原则：无论挂牌期内还是限时竞价期内，转让挂牌的项目，按价高者得的原则成交确定受让方</w:t>
            </w:r>
            <w:r>
              <w:rPr>
                <w:rFonts w:hint="default" w:ascii="仿宋" w:hAnsi="仿宋" w:eastAsia="仿宋" w:cs="仿宋"/>
                <w:bCs/>
                <w:color w:val="000000" w:themeColor="text1"/>
                <w:sz w:val="24"/>
                <w:lang w:val="en" w:eastAsia="zh-CN"/>
                <w14:textFill>
                  <w14:solidFill>
                    <w14:schemeClr w14:val="tx1"/>
                  </w14:solidFill>
                </w14:textFill>
              </w:rPr>
              <w:t>。</w:t>
            </w:r>
          </w:p>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color w:val="000000" w:themeColor="text1"/>
                <w:sz w:val="24"/>
                <w:lang w:val="en-US" w:eastAsia="zh-CN"/>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、成交后，交易双方应及时登录系统，</w:t>
            </w:r>
            <w:r>
              <w:rPr>
                <w:rFonts w:hint="eastAsia" w:ascii="仿宋" w:hAnsi="仿宋" w:eastAsia="仿宋" w:cs="仿宋"/>
                <w:bCs/>
                <w:color w:val="000000" w:themeColor="text1"/>
                <w:sz w:val="24"/>
                <w:lang w:eastAsia="zh-CN"/>
                <w14:textFill>
                  <w14:solidFill>
                    <w14:schemeClr w14:val="tx1"/>
                  </w14:solidFill>
                </w14:textFill>
              </w:rPr>
              <w:t>转让人</w:t>
            </w:r>
            <w:r>
              <w:rPr>
                <w:rFonts w:hint="eastAsia" w:ascii="仿宋" w:hAnsi="仿宋" w:eastAsia="仿宋" w:cs="仿宋"/>
                <w:bCs/>
                <w:color w:val="000000" w:themeColor="text1"/>
                <w:sz w:val="24"/>
                <w14:textFill>
                  <w14:solidFill>
                    <w14:schemeClr w14:val="tx1"/>
                  </w14:solidFill>
                </w14:textFill>
              </w:rPr>
              <w:t>应在15个工作日内与竞得人签订《补充耕地指标转让合同书》</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电子签章</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w:t>
            </w:r>
          </w:p>
        </w:tc>
        <w:tc>
          <w:tcPr>
            <w:tcW w:w="530" w:type="pct"/>
            <w:vAlign w:val="center"/>
          </w:tcPr>
          <w:p>
            <w:pPr>
              <w:snapToGrid w:val="0"/>
              <w:spacing w:line="200" w:lineRule="atLeas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交易中心</w:t>
            </w:r>
          </w:p>
          <w:p>
            <w:pPr>
              <w:widowControl/>
              <w:snapToGrid w:val="0"/>
              <w:spacing w:line="200" w:lineRule="atLeast"/>
              <w:jc w:val="center"/>
              <w:textAlignment w:val="center"/>
              <w:rPr>
                <w:rFonts w:ascii="仿宋" w:hAnsi="仿宋" w:eastAsia="仿宋" w:cs="仿宋"/>
                <w:bCs/>
                <w:sz w:val="24"/>
              </w:rPr>
            </w:pPr>
            <w:r>
              <w:rPr>
                <w:rFonts w:hint="eastAsia" w:ascii="仿宋" w:hAnsi="仿宋" w:eastAsia="仿宋" w:cs="仿宋"/>
                <w:bCs/>
                <w:color w:val="000000" w:themeColor="text1"/>
                <w:sz w:val="24"/>
                <w:lang w:eastAsia="zh-CN"/>
                <w14:textFill>
                  <w14:solidFill>
                    <w14:schemeClr w14:val="tx1"/>
                  </w14:solidFill>
                </w14:textFill>
              </w:rPr>
              <w:t>交易双方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9" w:hRule="atLeast"/>
          <w:jc w:val="center"/>
        </w:trPr>
        <w:tc>
          <w:tcPr>
            <w:tcW w:w="281" w:type="pct"/>
            <w:vMerge w:val="continue"/>
            <w:vAlign w:val="center"/>
          </w:tcPr>
          <w:p>
            <w:pPr>
              <w:widowControl/>
              <w:snapToGrid w:val="0"/>
              <w:spacing w:line="200" w:lineRule="atLeast"/>
              <w:jc w:val="center"/>
              <w:rPr>
                <w:rFonts w:ascii="仿宋" w:hAnsi="仿宋" w:eastAsia="仿宋" w:cs="仿宋"/>
                <w:sz w:val="24"/>
              </w:rPr>
            </w:pPr>
          </w:p>
        </w:tc>
        <w:tc>
          <w:tcPr>
            <w:tcW w:w="164" w:type="pct"/>
            <w:vMerge w:val="continue"/>
            <w:vAlign w:val="center"/>
          </w:tcPr>
          <w:p>
            <w:pPr>
              <w:widowControl/>
              <w:snapToGrid w:val="0"/>
              <w:spacing w:line="200" w:lineRule="atLeast"/>
              <w:ind w:firstLine="240" w:firstLineChars="100"/>
              <w:textAlignment w:val="center"/>
              <w:rPr>
                <w:rFonts w:ascii="仿宋" w:hAnsi="仿宋" w:eastAsia="仿宋" w:cs="仿宋"/>
                <w:kern w:val="0"/>
                <w:sz w:val="24"/>
                <w:lang w:bidi="ar"/>
              </w:rPr>
            </w:pPr>
          </w:p>
        </w:tc>
        <w:tc>
          <w:tcPr>
            <w:tcW w:w="630" w:type="pct"/>
            <w:vMerge w:val="continue"/>
            <w:vAlign w:val="center"/>
          </w:tcPr>
          <w:p>
            <w:pPr>
              <w:widowControl/>
              <w:snapToGrid w:val="0"/>
              <w:spacing w:line="200" w:lineRule="atLeast"/>
              <w:ind w:firstLine="720" w:firstLineChars="300"/>
              <w:textAlignment w:val="center"/>
              <w:rPr>
                <w:rFonts w:ascii="仿宋" w:hAnsi="仿宋" w:eastAsia="仿宋" w:cs="仿宋"/>
                <w:kern w:val="0"/>
                <w:sz w:val="24"/>
              </w:rPr>
            </w:pPr>
          </w:p>
        </w:tc>
        <w:tc>
          <w:tcPr>
            <w:tcW w:w="1150" w:type="pct"/>
            <w:vAlign w:val="center"/>
          </w:tcPr>
          <w:p>
            <w:pPr>
              <w:widowControl/>
              <w:snapToGrid w:val="0"/>
              <w:spacing w:line="200" w:lineRule="atLeast"/>
              <w:jc w:val="left"/>
              <w:textAlignment w:val="center"/>
              <w:rPr>
                <w:rFonts w:hint="eastAsia" w:ascii="仿宋" w:hAnsi="仿宋" w:eastAsia="仿宋" w:cs="仿宋"/>
                <w:color w:val="000000" w:themeColor="text1"/>
                <w:sz w:val="24"/>
                <w:lang w:val="en"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2.缴纳交易服务费</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eastAsia="zh-CN"/>
                <w14:textFill>
                  <w14:solidFill>
                    <w14:schemeClr w14:val="tx1"/>
                  </w14:solidFill>
                </w14:textFill>
              </w:rPr>
              <w:t>划退竞买保证金、</w:t>
            </w:r>
            <w:r>
              <w:rPr>
                <w:rFonts w:hint="eastAsia" w:ascii="仿宋" w:hAnsi="仿宋" w:eastAsia="仿宋" w:cs="仿宋"/>
                <w:color w:val="000000" w:themeColor="text1"/>
                <w:sz w:val="24"/>
                <w:lang w:val="en" w:eastAsia="zh-CN"/>
                <w14:textFill>
                  <w14:solidFill>
                    <w14:schemeClr w14:val="tx1"/>
                  </w14:solidFill>
                </w14:textFill>
              </w:rPr>
              <w:t>上传结算凭证</w:t>
            </w:r>
          </w:p>
        </w:tc>
        <w:tc>
          <w:tcPr>
            <w:tcW w:w="2243" w:type="pct"/>
            <w:vAlign w:val="center"/>
          </w:tcPr>
          <w:p>
            <w:pPr>
              <w:widowControl/>
              <w:snapToGrid w:val="0"/>
              <w:spacing w:line="200" w:lineRule="atLeast"/>
              <w:jc w:val="left"/>
              <w:textAlignment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缴纳交易服务费</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竞得人应在成交之日起5个工作日内按照湘发改价费〔2019〕366号规定缴纳交易服务费；</w:t>
            </w:r>
            <w:r>
              <w:rPr>
                <w:rFonts w:hint="eastAsia" w:ascii="仿宋" w:hAnsi="仿宋" w:eastAsia="仿宋" w:cs="仿宋"/>
                <w:bCs/>
                <w:color w:val="000000" w:themeColor="text1"/>
                <w:sz w:val="24"/>
                <w:lang w:val="en-US" w:eastAsia="zh-CN"/>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lang w:eastAsia="zh-CN"/>
                <w14:textFill>
                  <w14:solidFill>
                    <w14:schemeClr w14:val="tx1"/>
                  </w14:solidFill>
                </w14:textFill>
              </w:rPr>
              <w:t>按照转让合同</w:t>
            </w:r>
            <w:r>
              <w:rPr>
                <w:rFonts w:hint="eastAsia" w:ascii="仿宋" w:hAnsi="仿宋" w:eastAsia="仿宋" w:cs="仿宋"/>
                <w:bCs/>
                <w:color w:val="000000" w:themeColor="text1"/>
                <w:sz w:val="24"/>
                <w14:textFill>
                  <w14:solidFill>
                    <w14:schemeClr w14:val="tx1"/>
                  </w14:solidFill>
                </w14:textFill>
              </w:rPr>
              <w:t>进行交易资金结算</w:t>
            </w:r>
            <w:r>
              <w:rPr>
                <w:rFonts w:hint="eastAsia" w:ascii="仿宋" w:hAnsi="仿宋" w:eastAsia="仿宋" w:cs="仿宋"/>
                <w:bCs/>
                <w:color w:val="000000" w:themeColor="text1"/>
                <w:sz w:val="24"/>
                <w:lang w:eastAsia="zh-CN"/>
                <w14:textFill>
                  <w14:solidFill>
                    <w14:schemeClr w14:val="tx1"/>
                  </w14:solidFill>
                </w14:textFill>
              </w:rPr>
              <w:t>，交易双方</w:t>
            </w:r>
            <w:r>
              <w:rPr>
                <w:rFonts w:hint="eastAsia" w:ascii="仿宋" w:hAnsi="仿宋" w:eastAsia="仿宋" w:cs="仿宋"/>
                <w:bCs/>
                <w:color w:val="000000" w:themeColor="text1"/>
                <w:sz w:val="24"/>
                <w14:textFill>
                  <w14:solidFill>
                    <w14:schemeClr w14:val="tx1"/>
                  </w14:solidFill>
                </w14:textFill>
              </w:rPr>
              <w:t>将结算凭证（付款凭证、收款凭证）上传至交易系统</w:t>
            </w:r>
            <w:r>
              <w:rPr>
                <w:rFonts w:hint="eastAsia" w:ascii="仿宋" w:hAnsi="仿宋" w:eastAsia="仿宋" w:cs="仿宋"/>
                <w:bCs/>
                <w:color w:val="000000" w:themeColor="text1"/>
                <w:sz w:val="24"/>
                <w:lang w:eastAsia="zh-CN"/>
                <w14:textFill>
                  <w14:solidFill>
                    <w14:schemeClr w14:val="tx1"/>
                  </w14:solidFill>
                </w14:textFill>
              </w:rPr>
              <w:t>；</w:t>
            </w:r>
          </w:p>
          <w:p>
            <w:pPr>
              <w:widowControl/>
              <w:snapToGrid w:val="0"/>
              <w:spacing w:line="200" w:lineRule="atLeast"/>
              <w:jc w:val="left"/>
              <w:textAlignment w:val="center"/>
              <w:rPr>
                <w:rFonts w:hint="default" w:ascii="仿宋" w:hAnsi="仿宋" w:eastAsia="仿宋" w:cs="仿宋"/>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lang w:eastAsia="zh-CN"/>
                <w14:textFill>
                  <w14:solidFill>
                    <w14:schemeClr w14:val="tx1"/>
                  </w14:solidFill>
                </w14:textFill>
              </w:rPr>
              <w:t>划退竞买保证金。成交</w:t>
            </w:r>
            <w:r>
              <w:rPr>
                <w:rFonts w:hint="eastAsia" w:ascii="仿宋" w:hAnsi="仿宋" w:eastAsia="仿宋" w:cs="仿宋"/>
                <w:bCs/>
                <w:color w:val="000000" w:themeColor="text1"/>
                <w:sz w:val="24"/>
                <w14:textFill>
                  <w14:solidFill>
                    <w14:schemeClr w14:val="tx1"/>
                  </w14:solidFill>
                </w14:textFill>
              </w:rPr>
              <w:t>之日</w:t>
            </w:r>
            <w:r>
              <w:rPr>
                <w:rFonts w:hint="eastAsia" w:ascii="仿宋" w:hAnsi="仿宋" w:eastAsia="仿宋" w:cs="仿宋"/>
                <w:bCs/>
                <w:color w:val="000000" w:themeColor="text1"/>
                <w:sz w:val="24"/>
                <w:lang w:eastAsia="zh-CN"/>
                <w14:textFill>
                  <w14:solidFill>
                    <w14:schemeClr w14:val="tx1"/>
                  </w14:solidFill>
                </w14:textFill>
              </w:rPr>
              <w:t>起</w:t>
            </w:r>
            <w:r>
              <w:rPr>
                <w:rFonts w:hint="eastAsia" w:ascii="仿宋" w:hAnsi="仿宋" w:eastAsia="仿宋" w:cs="仿宋"/>
                <w:bCs/>
                <w:color w:val="000000" w:themeColor="text1"/>
                <w:sz w:val="24"/>
                <w:lang w:val="en-US" w:eastAsia="zh-CN"/>
                <w14:textFill>
                  <w14:solidFill>
                    <w14:schemeClr w14:val="tx1"/>
                  </w14:solidFill>
                </w14:textFill>
              </w:rPr>
              <w:t>2个工作日之内</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lang w:eastAsia="zh-CN"/>
                <w14:textFill>
                  <w14:solidFill>
                    <w14:schemeClr w14:val="tx1"/>
                  </w14:solidFill>
                </w14:textFill>
              </w:rPr>
              <w:t>交易</w:t>
            </w:r>
            <w:r>
              <w:rPr>
                <w:rFonts w:hint="eastAsia" w:ascii="仿宋" w:hAnsi="仿宋" w:eastAsia="仿宋" w:cs="仿宋"/>
                <w:bCs/>
                <w:color w:val="000000" w:themeColor="text1"/>
                <w:sz w:val="24"/>
                <w14:textFill>
                  <w14:solidFill>
                    <w14:schemeClr w14:val="tx1"/>
                  </w14:solidFill>
                </w14:textFill>
              </w:rPr>
              <w:t>系统</w:t>
            </w:r>
            <w:r>
              <w:rPr>
                <w:rFonts w:hint="eastAsia" w:ascii="仿宋" w:hAnsi="仿宋" w:eastAsia="仿宋" w:cs="仿宋"/>
                <w:bCs/>
                <w:color w:val="000000" w:themeColor="text1"/>
                <w:sz w:val="24"/>
                <w:lang w:eastAsia="zh-CN"/>
                <w14:textFill>
                  <w14:solidFill>
                    <w14:schemeClr w14:val="tx1"/>
                  </w14:solidFill>
                </w14:textFill>
              </w:rPr>
              <w:t>依据交易结果信息</w:t>
            </w:r>
            <w:r>
              <w:rPr>
                <w:rFonts w:hint="eastAsia" w:ascii="仿宋" w:hAnsi="仿宋" w:eastAsia="仿宋" w:cs="仿宋"/>
                <w:bCs/>
                <w:color w:val="000000" w:themeColor="text1"/>
                <w:sz w:val="24"/>
                <w14:textFill>
                  <w14:solidFill>
                    <w14:schemeClr w14:val="tx1"/>
                  </w14:solidFill>
                </w14:textFill>
              </w:rPr>
              <w:t>自动将</w:t>
            </w:r>
            <w:r>
              <w:rPr>
                <w:rFonts w:hint="eastAsia" w:ascii="仿宋" w:hAnsi="仿宋" w:eastAsia="仿宋" w:cs="仿宋"/>
                <w:bCs/>
                <w:color w:val="000000" w:themeColor="text1"/>
                <w:sz w:val="24"/>
                <w:lang w:val="en" w:eastAsia="zh-CN"/>
                <w14:textFill>
                  <w14:solidFill>
                    <w14:schemeClr w14:val="tx1"/>
                  </w14:solidFill>
                </w14:textFill>
              </w:rPr>
              <w:t>未竞得人的竞买</w:t>
            </w:r>
            <w:r>
              <w:rPr>
                <w:rFonts w:hint="eastAsia" w:ascii="仿宋" w:hAnsi="仿宋" w:eastAsia="仿宋" w:cs="仿宋"/>
                <w:bCs/>
                <w:color w:val="000000" w:themeColor="text1"/>
                <w:sz w:val="24"/>
                <w:lang w:eastAsia="zh-CN"/>
                <w14:textFill>
                  <w14:solidFill>
                    <w14:schemeClr w14:val="tx1"/>
                  </w14:solidFill>
                </w14:textFill>
              </w:rPr>
              <w:t>保证金</w:t>
            </w:r>
            <w:r>
              <w:rPr>
                <w:rFonts w:hint="eastAsia" w:ascii="仿宋" w:hAnsi="仿宋" w:eastAsia="仿宋" w:cs="仿宋"/>
                <w:bCs/>
                <w:color w:val="000000" w:themeColor="text1"/>
                <w:sz w:val="24"/>
                <w14:textFill>
                  <w14:solidFill>
                    <w14:schemeClr w14:val="tx1"/>
                  </w14:solidFill>
                </w14:textFill>
              </w:rPr>
              <w:t>退款信息推送</w:t>
            </w:r>
            <w:r>
              <w:rPr>
                <w:rFonts w:hint="eastAsia" w:ascii="仿宋" w:hAnsi="仿宋" w:eastAsia="仿宋" w:cs="仿宋"/>
                <w:bCs/>
                <w:color w:val="000000" w:themeColor="text1"/>
                <w:sz w:val="24"/>
                <w:lang w:eastAsia="zh-CN"/>
                <w14:textFill>
                  <w14:solidFill>
                    <w14:schemeClr w14:val="tx1"/>
                  </w14:solidFill>
                </w14:textFill>
              </w:rPr>
              <w:t>至保证金系统，保证金系统自动将</w:t>
            </w:r>
            <w:r>
              <w:rPr>
                <w:rFonts w:hint="eastAsia" w:ascii="仿宋" w:hAnsi="仿宋" w:eastAsia="仿宋" w:cs="仿宋"/>
                <w:bCs/>
                <w:color w:val="000000" w:themeColor="text1"/>
                <w:sz w:val="24"/>
                <w14:textFill>
                  <w14:solidFill>
                    <w14:schemeClr w14:val="tx1"/>
                  </w14:solidFill>
                </w14:textFill>
              </w:rPr>
              <w:t>退款信息</w:t>
            </w:r>
            <w:r>
              <w:rPr>
                <w:rFonts w:hint="eastAsia" w:ascii="仿宋" w:hAnsi="仿宋" w:eastAsia="仿宋" w:cs="仿宋"/>
                <w:bCs/>
                <w:color w:val="000000" w:themeColor="text1"/>
                <w:sz w:val="24"/>
                <w:lang w:eastAsia="zh-CN"/>
                <w14:textFill>
                  <w14:solidFill>
                    <w14:schemeClr w14:val="tx1"/>
                  </w14:solidFill>
                </w14:textFill>
              </w:rPr>
              <w:t>推送银行，</w:t>
            </w:r>
            <w:r>
              <w:rPr>
                <w:rFonts w:hint="eastAsia" w:ascii="仿宋" w:hAnsi="仿宋" w:eastAsia="仿宋" w:cs="仿宋"/>
                <w:bCs/>
                <w:color w:val="000000" w:themeColor="text1"/>
                <w:sz w:val="24"/>
                <w:lang w:val="en-US" w:eastAsia="zh-CN"/>
                <w14:textFill>
                  <w14:solidFill>
                    <w14:schemeClr w14:val="tx1"/>
                  </w14:solidFill>
                </w14:textFill>
              </w:rPr>
              <w:t>3个工作日之内</w:t>
            </w:r>
            <w:r>
              <w:rPr>
                <w:rFonts w:hint="eastAsia" w:ascii="仿宋" w:hAnsi="仿宋" w:eastAsia="仿宋" w:cs="仿宋"/>
                <w:bCs/>
                <w:color w:val="000000" w:themeColor="text1"/>
                <w:sz w:val="24"/>
                <w:lang w:eastAsia="zh-CN"/>
                <w14:textFill>
                  <w14:solidFill>
                    <w14:schemeClr w14:val="tx1"/>
                  </w14:solidFill>
                </w14:textFill>
              </w:rPr>
              <w:t>再由银行原路退还，</w:t>
            </w:r>
            <w:r>
              <w:rPr>
                <w:rFonts w:hint="eastAsia" w:ascii="仿宋" w:hAnsi="仿宋" w:eastAsia="仿宋" w:cs="仿宋"/>
                <w:bCs/>
                <w:color w:val="000000" w:themeColor="text1"/>
                <w:sz w:val="24"/>
                <w14:textFill>
                  <w14:solidFill>
                    <w14:schemeClr w14:val="tx1"/>
                  </w14:solidFill>
                </w14:textFill>
              </w:rPr>
              <w:t>并自动生成退款统计表</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转让人、受让人分别上传的银行收款凭证、银行付款凭证和缴纳交易服务费。</w:t>
            </w:r>
          </w:p>
          <w:p>
            <w:pPr>
              <w:snapToGrid w:val="0"/>
              <w:spacing w:line="200" w:lineRule="atLeast"/>
              <w:jc w:val="left"/>
              <w:rPr>
                <w:rFonts w:ascii="仿宋" w:hAnsi="仿宋" w:eastAsia="仿宋" w:cs="仿宋"/>
                <w:bCs/>
                <w:color w:val="000000" w:themeColor="text1"/>
                <w:sz w:val="24"/>
                <w14:textFill>
                  <w14:solidFill>
                    <w14:schemeClr w14:val="tx1"/>
                  </w14:solidFill>
                </w14:textFill>
              </w:rPr>
            </w:pPr>
          </w:p>
        </w:tc>
        <w:tc>
          <w:tcPr>
            <w:tcW w:w="530" w:type="pct"/>
            <w:vAlign w:val="center"/>
          </w:tcPr>
          <w:p>
            <w:pPr>
              <w:snapToGrid w:val="0"/>
              <w:spacing w:line="200" w:lineRule="atLeast"/>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交易中心</w:t>
            </w:r>
          </w:p>
          <w:p>
            <w:pPr>
              <w:snapToGrid w:val="0"/>
              <w:spacing w:line="200" w:lineRule="atLeast"/>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交易双方</w:t>
            </w:r>
          </w:p>
          <w:p>
            <w:pPr>
              <w:snapToGrid w:val="0"/>
              <w:spacing w:line="200" w:lineRule="atLeast"/>
              <w:jc w:val="center"/>
              <w:rPr>
                <w:rFonts w:ascii="仿宋" w:hAnsi="仿宋" w:eastAsia="仿宋" w:cs="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03" w:hRule="atLeast"/>
          <w:jc w:val="center"/>
        </w:trPr>
        <w:tc>
          <w:tcPr>
            <w:tcW w:w="281" w:type="pct"/>
            <w:vMerge w:val="continue"/>
            <w:vAlign w:val="center"/>
          </w:tcPr>
          <w:p>
            <w:pPr>
              <w:widowControl/>
              <w:snapToGrid w:val="0"/>
              <w:spacing w:line="200" w:lineRule="atLeast"/>
              <w:jc w:val="center"/>
              <w:rPr>
                <w:rFonts w:ascii="仿宋" w:hAnsi="仿宋" w:eastAsia="仿宋" w:cs="仿宋"/>
                <w:sz w:val="24"/>
              </w:rPr>
            </w:pPr>
          </w:p>
        </w:tc>
        <w:tc>
          <w:tcPr>
            <w:tcW w:w="164" w:type="pct"/>
            <w:vAlign w:val="center"/>
          </w:tcPr>
          <w:p>
            <w:pPr>
              <w:widowControl/>
              <w:snapToGrid w:val="0"/>
              <w:spacing w:line="200" w:lineRule="atLeast"/>
              <w:jc w:val="center"/>
              <w:textAlignment w:val="center"/>
              <w:rPr>
                <w:rFonts w:ascii="仿宋" w:hAnsi="仿宋" w:eastAsia="仿宋" w:cs="仿宋"/>
                <w:kern w:val="0"/>
                <w:sz w:val="24"/>
                <w:lang w:bidi="ar"/>
              </w:rPr>
            </w:pPr>
          </w:p>
        </w:tc>
        <w:tc>
          <w:tcPr>
            <w:tcW w:w="630" w:type="pct"/>
            <w:vAlign w:val="center"/>
          </w:tcPr>
          <w:p>
            <w:pPr>
              <w:widowControl/>
              <w:snapToGrid w:val="0"/>
              <w:spacing w:line="200" w:lineRule="atLeast"/>
              <w:jc w:val="center"/>
              <w:textAlignment w:val="center"/>
              <w:rPr>
                <w:rFonts w:ascii="仿宋" w:hAnsi="仿宋" w:eastAsia="仿宋" w:cs="仿宋"/>
                <w:kern w:val="0"/>
                <w:sz w:val="24"/>
                <w:lang w:bidi="ar"/>
              </w:rPr>
            </w:pPr>
          </w:p>
        </w:tc>
        <w:tc>
          <w:tcPr>
            <w:tcW w:w="1150" w:type="pct"/>
            <w:vAlign w:val="center"/>
          </w:tcPr>
          <w:p>
            <w:pPr>
              <w:widowControl/>
              <w:snapToGrid w:val="0"/>
              <w:spacing w:line="200" w:lineRule="atLeast"/>
              <w:jc w:val="left"/>
              <w:textAlignment w:val="center"/>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办理</w:t>
            </w:r>
            <w:r>
              <w:rPr>
                <w:rFonts w:hint="eastAsia" w:ascii="仿宋" w:hAnsi="仿宋" w:eastAsia="仿宋" w:cs="仿宋"/>
                <w:sz w:val="24"/>
                <w:lang w:val="en"/>
              </w:rPr>
              <w:t>成交确认书</w:t>
            </w:r>
          </w:p>
        </w:tc>
        <w:tc>
          <w:tcPr>
            <w:tcW w:w="2243" w:type="pct"/>
            <w:vAlign w:val="center"/>
          </w:tcPr>
          <w:p>
            <w:pPr>
              <w:jc w:val="both"/>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1、交易的资金结算凭证均上传</w:t>
            </w:r>
            <w:r>
              <w:rPr>
                <w:rFonts w:hint="eastAsia" w:ascii="仿宋" w:hAnsi="仿宋" w:eastAsia="仿宋" w:cs="仿宋"/>
                <w:bCs/>
                <w:color w:val="000000" w:themeColor="text1"/>
                <w:sz w:val="24"/>
                <w:lang w:eastAsia="zh-CN"/>
                <w14:textFill>
                  <w14:solidFill>
                    <w14:schemeClr w14:val="tx1"/>
                  </w14:solidFill>
                </w14:textFill>
              </w:rPr>
              <w:t>核对</w:t>
            </w:r>
            <w:r>
              <w:rPr>
                <w:rFonts w:hint="eastAsia" w:ascii="仿宋" w:hAnsi="仿宋" w:eastAsia="仿宋" w:cs="仿宋"/>
                <w:bCs/>
                <w:color w:val="000000" w:themeColor="text1"/>
                <w:sz w:val="24"/>
                <w14:textFill>
                  <w14:solidFill>
                    <w14:schemeClr w14:val="tx1"/>
                  </w14:solidFill>
                </w14:textFill>
              </w:rPr>
              <w:t>后，交易中心于</w:t>
            </w: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个工作日内</w:t>
            </w:r>
            <w:r>
              <w:rPr>
                <w:rFonts w:hint="eastAsia" w:ascii="仿宋" w:hAnsi="仿宋" w:eastAsia="仿宋" w:cs="仿宋"/>
                <w:bCs/>
                <w:color w:val="000000" w:themeColor="text1"/>
                <w:sz w:val="24"/>
                <w:lang w:eastAsia="zh-CN"/>
                <w14:textFill>
                  <w14:solidFill>
                    <w14:schemeClr w14:val="tx1"/>
                  </w14:solidFill>
                </w14:textFill>
              </w:rPr>
              <w:t>办理</w:t>
            </w:r>
            <w:r>
              <w:rPr>
                <w:rFonts w:hint="eastAsia" w:ascii="仿宋" w:hAnsi="仿宋" w:eastAsia="仿宋" w:cs="仿宋"/>
                <w:bCs/>
                <w:color w:val="000000" w:themeColor="text1"/>
                <w:sz w:val="24"/>
                <w14:textFill>
                  <w14:solidFill>
                    <w14:schemeClr w14:val="tx1"/>
                  </w14:solidFill>
                </w14:textFill>
              </w:rPr>
              <w:t>《补充耕地</w:t>
            </w:r>
            <w:r>
              <w:rPr>
                <w:rFonts w:hint="eastAsia" w:ascii="仿宋" w:hAnsi="仿宋" w:eastAsia="仿宋" w:cs="仿宋"/>
                <w:bCs/>
                <w:color w:val="000000" w:themeColor="text1"/>
                <w:sz w:val="24"/>
                <w:lang w:eastAsia="zh-CN"/>
                <w14:textFill>
                  <w14:solidFill>
                    <w14:schemeClr w14:val="tx1"/>
                  </w14:solidFill>
                </w14:textFill>
              </w:rPr>
              <w:t>指</w:t>
            </w:r>
            <w:r>
              <w:rPr>
                <w:rFonts w:hint="eastAsia" w:ascii="仿宋" w:hAnsi="仿宋" w:eastAsia="仿宋" w:cs="仿宋"/>
                <w:bCs/>
                <w:color w:val="000000" w:themeColor="text1"/>
                <w:sz w:val="24"/>
                <w14:textFill>
                  <w14:solidFill>
                    <w14:schemeClr w14:val="tx1"/>
                  </w14:solidFill>
                </w14:textFill>
              </w:rPr>
              <w:t>标转让成交确认书》</w:t>
            </w:r>
            <w:r>
              <w:rPr>
                <w:rFonts w:hint="eastAsia" w:ascii="仿宋" w:hAnsi="仿宋" w:eastAsia="仿宋" w:cs="仿宋"/>
                <w:bCs/>
                <w:color w:val="000000" w:themeColor="text1"/>
                <w:sz w:val="24"/>
                <w:lang w:eastAsia="zh-CN"/>
                <w14:textFill>
                  <w14:solidFill>
                    <w14:schemeClr w14:val="tx1"/>
                  </w14:solidFill>
                </w14:textFill>
              </w:rPr>
              <w:t>；</w:t>
            </w:r>
          </w:p>
          <w:p>
            <w:pPr>
              <w:jc w:val="both"/>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2、</w:t>
            </w:r>
            <w:r>
              <w:rPr>
                <w:rFonts w:hint="eastAsia" w:ascii="仿宋" w:hAnsi="仿宋" w:eastAsia="仿宋" w:cs="仿宋"/>
                <w:bCs/>
                <w:color w:val="000000" w:themeColor="text1"/>
                <w:sz w:val="24"/>
                <w:lang w:eastAsia="zh-CN"/>
                <w14:textFill>
                  <w14:solidFill>
                    <w14:schemeClr w14:val="tx1"/>
                  </w14:solidFill>
                </w14:textFill>
              </w:rPr>
              <w:t>交易双方通过交易系统在线下载打印成交确认书，到省自然资源厅办理指标划转手续。</w:t>
            </w:r>
          </w:p>
          <w:p>
            <w:pPr>
              <w:jc w:val="both"/>
              <w:rPr>
                <w:rFonts w:hint="eastAsia" w:eastAsia="宋体"/>
                <w:color w:val="000000" w:themeColor="text1"/>
                <w:lang w:eastAsia="zh-CN"/>
                <w14:textFill>
                  <w14:solidFill>
                    <w14:schemeClr w14:val="tx1"/>
                  </w14:solidFill>
                </w14:textFill>
              </w:rPr>
            </w:pPr>
          </w:p>
          <w:p>
            <w:pPr>
              <w:widowControl/>
              <w:wordWrap w:val="0"/>
              <w:spacing w:line="360" w:lineRule="atLeast"/>
              <w:jc w:val="left"/>
              <w:rPr>
                <w:rFonts w:hint="eastAsia" w:ascii="仿宋" w:hAnsi="仿宋" w:eastAsia="仿宋" w:cs="仿宋"/>
                <w:bCs/>
                <w:color w:val="000000" w:themeColor="text1"/>
                <w:sz w:val="24"/>
                <w:lang w:eastAsia="zh-CN"/>
                <w14:textFill>
                  <w14:solidFill>
                    <w14:schemeClr w14:val="tx1"/>
                  </w14:solidFill>
                </w14:textFill>
              </w:rPr>
            </w:pPr>
          </w:p>
        </w:tc>
        <w:tc>
          <w:tcPr>
            <w:tcW w:w="530" w:type="pct"/>
            <w:vAlign w:val="center"/>
          </w:tcPr>
          <w:p>
            <w:pPr>
              <w:snapToGrid w:val="0"/>
              <w:spacing w:line="200" w:lineRule="atLeas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交易中心</w:t>
            </w:r>
          </w:p>
          <w:p>
            <w:pPr>
              <w:snapToGrid w:val="0"/>
              <w:spacing w:line="200" w:lineRule="atLeast"/>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交易双方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 w:hRule="atLeast"/>
          <w:jc w:val="center"/>
        </w:trPr>
        <w:tc>
          <w:tcPr>
            <w:tcW w:w="281" w:type="pct"/>
            <w:vAlign w:val="center"/>
          </w:tcPr>
          <w:p>
            <w:pPr>
              <w:widowControl/>
              <w:snapToGrid w:val="0"/>
              <w:jc w:val="center"/>
              <w:rPr>
                <w:rFonts w:ascii="仿宋" w:hAnsi="仿宋" w:eastAsia="仿宋" w:cs="仿宋"/>
                <w:sz w:val="24"/>
              </w:rPr>
            </w:pPr>
          </w:p>
        </w:tc>
        <w:tc>
          <w:tcPr>
            <w:tcW w:w="4718" w:type="pct"/>
            <w:gridSpan w:val="5"/>
            <w:vAlign w:val="center"/>
          </w:tcPr>
          <w:p>
            <w:pPr>
              <w:widowControl/>
              <w:numPr>
                <w:ilvl w:val="255"/>
                <w:numId w:val="0"/>
              </w:numPr>
              <w:snapToGrid w:val="0"/>
              <w:spacing w:line="220" w:lineRule="exact"/>
              <w:jc w:val="left"/>
              <w:textAlignment w:val="center"/>
              <w:rPr>
                <w:rFonts w:ascii="仿宋" w:hAnsi="仿宋" w:eastAsia="仿宋" w:cs="仿宋"/>
                <w:kern w:val="0"/>
                <w:sz w:val="24"/>
                <w:lang w:bidi="ar"/>
              </w:rPr>
            </w:pPr>
          </w:p>
        </w:tc>
      </w:tr>
    </w:tbl>
    <w:p>
      <w:r>
        <w:rPr>
          <w:rFonts w:hint="eastAsia" w:ascii="黑体" w:hAnsi="黑体" w:eastAsia="黑体" w:cs="黑体"/>
          <w:sz w:val="36"/>
          <w:szCs w:val="36"/>
        </w:rPr>
        <w:t xml:space="preserve">                                 </w:t>
      </w:r>
    </w:p>
    <w:sectPr>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YThiY2M0NTJiMzNjNzFlZWFlNzAzOWZmNTYxZjUifQ=="/>
  </w:docVars>
  <w:rsids>
    <w:rsidRoot w:val="00AB7D52"/>
    <w:rsid w:val="00070214"/>
    <w:rsid w:val="000F6917"/>
    <w:rsid w:val="001C6A94"/>
    <w:rsid w:val="00412A31"/>
    <w:rsid w:val="005236AE"/>
    <w:rsid w:val="00560405"/>
    <w:rsid w:val="006F3035"/>
    <w:rsid w:val="00772A92"/>
    <w:rsid w:val="007C1BD4"/>
    <w:rsid w:val="00834CF7"/>
    <w:rsid w:val="0097361D"/>
    <w:rsid w:val="00A57CA6"/>
    <w:rsid w:val="00A70F9A"/>
    <w:rsid w:val="00AB7D52"/>
    <w:rsid w:val="00AC75E3"/>
    <w:rsid w:val="00AF7014"/>
    <w:rsid w:val="00B20878"/>
    <w:rsid w:val="00CC1C57"/>
    <w:rsid w:val="00ED0207"/>
    <w:rsid w:val="00FB674C"/>
    <w:rsid w:val="00FC2654"/>
    <w:rsid w:val="00FE1B52"/>
    <w:rsid w:val="0192652E"/>
    <w:rsid w:val="04727636"/>
    <w:rsid w:val="05B1CE5A"/>
    <w:rsid w:val="06964D1E"/>
    <w:rsid w:val="0A3E65AB"/>
    <w:rsid w:val="0B6C5ED2"/>
    <w:rsid w:val="0BFB05F7"/>
    <w:rsid w:val="0C5D1BAD"/>
    <w:rsid w:val="0DFCDD7C"/>
    <w:rsid w:val="0E823BDC"/>
    <w:rsid w:val="0E942C3D"/>
    <w:rsid w:val="0EC23D41"/>
    <w:rsid w:val="0ED440E6"/>
    <w:rsid w:val="0F521683"/>
    <w:rsid w:val="11743EBE"/>
    <w:rsid w:val="11B97FD9"/>
    <w:rsid w:val="11C22383"/>
    <w:rsid w:val="11E22FD9"/>
    <w:rsid w:val="131859B5"/>
    <w:rsid w:val="13815EDF"/>
    <w:rsid w:val="14650A01"/>
    <w:rsid w:val="14FA7941"/>
    <w:rsid w:val="163928F5"/>
    <w:rsid w:val="16747876"/>
    <w:rsid w:val="17E57F7D"/>
    <w:rsid w:val="18D75BAC"/>
    <w:rsid w:val="193B171A"/>
    <w:rsid w:val="1AFC516F"/>
    <w:rsid w:val="1E5163DB"/>
    <w:rsid w:val="1F3E3645"/>
    <w:rsid w:val="1F92704C"/>
    <w:rsid w:val="20711CD8"/>
    <w:rsid w:val="23343D8A"/>
    <w:rsid w:val="23BA00B1"/>
    <w:rsid w:val="25B137C9"/>
    <w:rsid w:val="25FF4222"/>
    <w:rsid w:val="26653A61"/>
    <w:rsid w:val="26CF1B59"/>
    <w:rsid w:val="275C211F"/>
    <w:rsid w:val="28AD3ACA"/>
    <w:rsid w:val="29001E4B"/>
    <w:rsid w:val="29C15A7E"/>
    <w:rsid w:val="2A685EFA"/>
    <w:rsid w:val="2BFE6E4E"/>
    <w:rsid w:val="2CD65ABA"/>
    <w:rsid w:val="2D0068BE"/>
    <w:rsid w:val="2EF26F06"/>
    <w:rsid w:val="2FDD659E"/>
    <w:rsid w:val="32FE2DED"/>
    <w:rsid w:val="33482D6D"/>
    <w:rsid w:val="341E2C9F"/>
    <w:rsid w:val="3601278A"/>
    <w:rsid w:val="363A7D25"/>
    <w:rsid w:val="363B4A32"/>
    <w:rsid w:val="364A63CD"/>
    <w:rsid w:val="36B67FED"/>
    <w:rsid w:val="38D363E5"/>
    <w:rsid w:val="397EF5A4"/>
    <w:rsid w:val="39E02B23"/>
    <w:rsid w:val="3B5F6679"/>
    <w:rsid w:val="3CBB3477"/>
    <w:rsid w:val="3EA77654"/>
    <w:rsid w:val="3EAB0813"/>
    <w:rsid w:val="3F3B2979"/>
    <w:rsid w:val="3F6A3046"/>
    <w:rsid w:val="40456181"/>
    <w:rsid w:val="409A44DC"/>
    <w:rsid w:val="40F85D6A"/>
    <w:rsid w:val="4220171D"/>
    <w:rsid w:val="42C57F36"/>
    <w:rsid w:val="42EB7E09"/>
    <w:rsid w:val="42FE0D52"/>
    <w:rsid w:val="43C61DB5"/>
    <w:rsid w:val="4D4C4790"/>
    <w:rsid w:val="4DE90B17"/>
    <w:rsid w:val="4EBEB718"/>
    <w:rsid w:val="4ED132E2"/>
    <w:rsid w:val="4F446D22"/>
    <w:rsid w:val="4FEB640A"/>
    <w:rsid w:val="51D922AF"/>
    <w:rsid w:val="532317F1"/>
    <w:rsid w:val="55EE2EA8"/>
    <w:rsid w:val="565C2507"/>
    <w:rsid w:val="5879437D"/>
    <w:rsid w:val="59590E2B"/>
    <w:rsid w:val="5A37379F"/>
    <w:rsid w:val="5BCE11B3"/>
    <w:rsid w:val="5C050732"/>
    <w:rsid w:val="5C1E107B"/>
    <w:rsid w:val="5D0B73F2"/>
    <w:rsid w:val="5D813A81"/>
    <w:rsid w:val="5DB7632D"/>
    <w:rsid w:val="5E3F545B"/>
    <w:rsid w:val="5E599032"/>
    <w:rsid w:val="5F5FF7D0"/>
    <w:rsid w:val="5FB44AA0"/>
    <w:rsid w:val="5FDEF2E8"/>
    <w:rsid w:val="63534ECD"/>
    <w:rsid w:val="636E6267"/>
    <w:rsid w:val="64C71494"/>
    <w:rsid w:val="65B83C57"/>
    <w:rsid w:val="65F76642"/>
    <w:rsid w:val="67B97A73"/>
    <w:rsid w:val="6A7A2B04"/>
    <w:rsid w:val="6AE58142"/>
    <w:rsid w:val="6B7B55E4"/>
    <w:rsid w:val="6BF68190"/>
    <w:rsid w:val="6D104C61"/>
    <w:rsid w:val="6D254FA9"/>
    <w:rsid w:val="6E9B3E8E"/>
    <w:rsid w:val="6F3911E0"/>
    <w:rsid w:val="6F734B93"/>
    <w:rsid w:val="6F76BFD8"/>
    <w:rsid w:val="6FDCA7F0"/>
    <w:rsid w:val="6FDF5F50"/>
    <w:rsid w:val="703C1DD4"/>
    <w:rsid w:val="71685E12"/>
    <w:rsid w:val="73D223F2"/>
    <w:rsid w:val="74847EDE"/>
    <w:rsid w:val="756C18CA"/>
    <w:rsid w:val="75D94833"/>
    <w:rsid w:val="75EC5226"/>
    <w:rsid w:val="76FD1B1B"/>
    <w:rsid w:val="770E4629"/>
    <w:rsid w:val="77BBF9E6"/>
    <w:rsid w:val="77EF07B3"/>
    <w:rsid w:val="79FEEB19"/>
    <w:rsid w:val="7BF7B3FC"/>
    <w:rsid w:val="7D6FFEDC"/>
    <w:rsid w:val="7DB56F15"/>
    <w:rsid w:val="7DBFDB5A"/>
    <w:rsid w:val="7DCFDF03"/>
    <w:rsid w:val="7DDE4E24"/>
    <w:rsid w:val="7E217FF4"/>
    <w:rsid w:val="7EFE4C93"/>
    <w:rsid w:val="7EFEF1C9"/>
    <w:rsid w:val="7EFF6D3E"/>
    <w:rsid w:val="7F7B4A59"/>
    <w:rsid w:val="7FE1635B"/>
    <w:rsid w:val="7FF53F64"/>
    <w:rsid w:val="8D77BB65"/>
    <w:rsid w:val="8DF17E89"/>
    <w:rsid w:val="97FD358F"/>
    <w:rsid w:val="9D3F5139"/>
    <w:rsid w:val="A7FA698A"/>
    <w:rsid w:val="AEFAF2E5"/>
    <w:rsid w:val="B3FE908A"/>
    <w:rsid w:val="B9EFC512"/>
    <w:rsid w:val="BDF62943"/>
    <w:rsid w:val="BE4E73AE"/>
    <w:rsid w:val="BFB7A257"/>
    <w:rsid w:val="BFBEE079"/>
    <w:rsid w:val="BFFC3AD8"/>
    <w:rsid w:val="C7BFFB7D"/>
    <w:rsid w:val="CBB76660"/>
    <w:rsid w:val="CCF16161"/>
    <w:rsid w:val="CFD67F69"/>
    <w:rsid w:val="CFF5A0A9"/>
    <w:rsid w:val="D77D8EF2"/>
    <w:rsid w:val="DB3C6274"/>
    <w:rsid w:val="DBFE88E2"/>
    <w:rsid w:val="DBFFC847"/>
    <w:rsid w:val="DD6FA886"/>
    <w:rsid w:val="DF727B70"/>
    <w:rsid w:val="DFAFD79F"/>
    <w:rsid w:val="DFB780B6"/>
    <w:rsid w:val="DFDD6099"/>
    <w:rsid w:val="DFF3218F"/>
    <w:rsid w:val="DFFEEC4B"/>
    <w:rsid w:val="E3A9F2D4"/>
    <w:rsid w:val="E55FDE1D"/>
    <w:rsid w:val="EBDFCF4B"/>
    <w:rsid w:val="EBFF0615"/>
    <w:rsid w:val="EDC39CF4"/>
    <w:rsid w:val="EF2FF645"/>
    <w:rsid w:val="EF420600"/>
    <w:rsid w:val="EFBBFDA6"/>
    <w:rsid w:val="EFFEE492"/>
    <w:rsid w:val="F1EB49D0"/>
    <w:rsid w:val="F3FBBB79"/>
    <w:rsid w:val="F55DE311"/>
    <w:rsid w:val="F7B6F6ED"/>
    <w:rsid w:val="F7DB126F"/>
    <w:rsid w:val="F7FC62C8"/>
    <w:rsid w:val="FAFF1AA0"/>
    <w:rsid w:val="FBFF8FF5"/>
    <w:rsid w:val="FDFD16DD"/>
    <w:rsid w:val="FDFEBA1B"/>
    <w:rsid w:val="FE27F275"/>
    <w:rsid w:val="FEAB87B6"/>
    <w:rsid w:val="FEB7F778"/>
    <w:rsid w:val="FF7DD9C2"/>
    <w:rsid w:val="FFAFF0A1"/>
    <w:rsid w:val="FFDDC1B5"/>
    <w:rsid w:val="FFDF513A"/>
    <w:rsid w:val="FFFF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customStyle="1" w:styleId="9">
    <w:name w:val="正文段落内容"/>
    <w:basedOn w:val="1"/>
    <w:qFormat/>
    <w:uiPriority w:val="0"/>
    <w:rPr>
      <w:kern w:val="0"/>
      <w:lang w:bidi="en-US"/>
    </w:rPr>
  </w:style>
  <w:style w:type="character" w:customStyle="1" w:styleId="10">
    <w:name w:val="font61"/>
    <w:basedOn w:val="8"/>
    <w:qFormat/>
    <w:uiPriority w:val="0"/>
    <w:rPr>
      <w:rFonts w:hint="eastAsia" w:ascii="宋体" w:hAnsi="宋体" w:eastAsia="宋体" w:cs="宋体"/>
      <w:color w:val="000000"/>
      <w:sz w:val="21"/>
      <w:szCs w:val="21"/>
      <w:u w:val="none"/>
    </w:rPr>
  </w:style>
  <w:style w:type="paragraph" w:customStyle="1" w:styleId="11">
    <w:name w:val="修订1"/>
    <w:hidden/>
    <w:semiHidden/>
    <w:qFormat/>
    <w:uiPriority w:val="99"/>
    <w:rPr>
      <w:rFonts w:ascii="Calibri" w:hAnsi="Calibri" w:eastAsia="宋体" w:cs="Times New Roman"/>
      <w:kern w:val="2"/>
      <w:sz w:val="21"/>
      <w:szCs w:val="24"/>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252</Words>
  <Characters>1439</Characters>
  <Lines>11</Lines>
  <Paragraphs>3</Paragraphs>
  <TotalTime>46</TotalTime>
  <ScaleCrop>false</ScaleCrop>
  <LinksUpToDate>false</LinksUpToDate>
  <CharactersWithSpaces>1688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2023-01-05T14:49:00Z</dcterms:created>
  <dc:creator>Administrator</dc:creator>
  <cp:lastModifiedBy>jyzx</cp:lastModifiedBy>
  <cp:lastPrinted>2023-01-11T19:32:00Z</cp:lastPrinted>
  <dcterms:modified xsi:type="dcterms:W3CDTF">2023-01-11T14:50:19Z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E6D49C3CBEE94D52ADFB08566766CCF6</vt:lpwstr>
  </property>
</Properties>
</file>