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cs="黑体"/>
          <w:sz w:val="36"/>
          <w:szCs w:val="36"/>
          <w:lang w:val="en"/>
        </w:rPr>
      </w:pPr>
      <w:r>
        <w:rPr>
          <w:rFonts w:hint="eastAsia" w:ascii="黑体" w:hAnsi="黑体" w:eastAsia="黑体" w:cs="黑体"/>
          <w:sz w:val="36"/>
          <w:szCs w:val="36"/>
        </w:rPr>
        <w:t>湖南省公共资源交易中心排污权交易平台操作规程</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49"/>
        <w:gridCol w:w="487"/>
        <w:gridCol w:w="680"/>
        <w:gridCol w:w="1930"/>
        <w:gridCol w:w="861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tblHeader/>
          <w:jc w:val="center"/>
        </w:trPr>
        <w:tc>
          <w:tcPr>
            <w:tcW w:w="268" w:type="pct"/>
            <w:vMerge w:val="restart"/>
            <w:shd w:val="clear" w:color="auto" w:fill="F1F1F1"/>
            <w:vAlign w:val="center"/>
          </w:tcPr>
          <w:p>
            <w:pPr>
              <w:widowControl/>
              <w:snapToGrid w:val="0"/>
              <w:spacing w:line="200" w:lineRule="atLeast"/>
              <w:jc w:val="center"/>
              <w:textAlignment w:val="center"/>
              <w:rPr>
                <w:rFonts w:ascii="黑体" w:hAnsi="黑体" w:eastAsia="黑体" w:cs="黑体"/>
                <w:bCs/>
                <w:kern w:val="0"/>
                <w:sz w:val="24"/>
                <w:lang w:bidi="ar"/>
              </w:rPr>
            </w:pPr>
            <w:r>
              <w:rPr>
                <w:rFonts w:hint="eastAsia" w:ascii="黑体" w:hAnsi="黑体" w:eastAsia="黑体" w:cs="黑体"/>
                <w:bCs/>
                <w:kern w:val="0"/>
                <w:sz w:val="24"/>
                <w:lang w:bidi="ar"/>
              </w:rPr>
              <w:t>交易</w:t>
            </w:r>
          </w:p>
          <w:p>
            <w:pPr>
              <w:widowControl/>
              <w:snapToGrid w:val="0"/>
              <w:spacing w:line="200" w:lineRule="atLeast"/>
              <w:jc w:val="center"/>
              <w:textAlignment w:val="center"/>
              <w:rPr>
                <w:rFonts w:ascii="黑体" w:hAnsi="黑体" w:eastAsia="黑体" w:cs="黑体"/>
                <w:bCs/>
                <w:sz w:val="24"/>
              </w:rPr>
            </w:pPr>
            <w:r>
              <w:rPr>
                <w:rFonts w:hint="eastAsia" w:ascii="黑体" w:hAnsi="黑体" w:eastAsia="黑体" w:cs="黑体"/>
                <w:bCs/>
                <w:kern w:val="0"/>
                <w:sz w:val="24"/>
                <w:lang w:bidi="ar"/>
              </w:rPr>
              <w:t>环节</w:t>
            </w:r>
          </w:p>
        </w:tc>
        <w:tc>
          <w:tcPr>
            <w:tcW w:w="1107" w:type="pct"/>
            <w:gridSpan w:val="3"/>
            <w:shd w:val="clear" w:color="auto" w:fill="F1F1F1"/>
            <w:vAlign w:val="center"/>
          </w:tcPr>
          <w:p>
            <w:pPr>
              <w:widowControl/>
              <w:snapToGrid w:val="0"/>
              <w:spacing w:line="200" w:lineRule="atLeast"/>
              <w:jc w:val="center"/>
              <w:textAlignment w:val="center"/>
              <w:rPr>
                <w:rFonts w:ascii="黑体" w:hAnsi="黑体" w:eastAsia="黑体" w:cs="黑体"/>
                <w:bCs/>
                <w:sz w:val="24"/>
              </w:rPr>
            </w:pPr>
            <w:r>
              <w:rPr>
                <w:rFonts w:hint="eastAsia" w:ascii="黑体" w:hAnsi="黑体" w:eastAsia="黑体" w:cs="黑体"/>
                <w:bCs/>
                <w:kern w:val="0"/>
                <w:sz w:val="24"/>
                <w:lang w:bidi="ar"/>
              </w:rPr>
              <w:t>交易流程</w:t>
            </w:r>
          </w:p>
        </w:tc>
        <w:tc>
          <w:tcPr>
            <w:tcW w:w="3079" w:type="pct"/>
            <w:vMerge w:val="restart"/>
            <w:tcBorders>
              <w:right w:val="single" w:color="auto" w:sz="4" w:space="0"/>
            </w:tcBorders>
            <w:shd w:val="clear" w:color="auto" w:fill="F1F1F1"/>
            <w:vAlign w:val="center"/>
          </w:tcPr>
          <w:p>
            <w:pPr>
              <w:widowControl/>
              <w:snapToGrid w:val="0"/>
              <w:spacing w:line="200" w:lineRule="atLeast"/>
              <w:jc w:val="center"/>
              <w:textAlignment w:val="center"/>
              <w:rPr>
                <w:rFonts w:ascii="黑体" w:hAnsi="黑体" w:eastAsia="黑体" w:cs="黑体"/>
                <w:sz w:val="24"/>
                <w:lang w:val="en"/>
              </w:rPr>
            </w:pPr>
            <w:r>
              <w:rPr>
                <w:rFonts w:hint="eastAsia" w:ascii="黑体" w:hAnsi="黑体" w:eastAsia="黑体" w:cs="黑体"/>
                <w:kern w:val="0"/>
                <w:sz w:val="24"/>
                <w:lang w:val="en" w:bidi="ar"/>
              </w:rPr>
              <w:t>工作规程</w:t>
            </w:r>
          </w:p>
        </w:tc>
        <w:tc>
          <w:tcPr>
            <w:tcW w:w="544" w:type="pct"/>
            <w:vMerge w:val="restart"/>
            <w:tcBorders>
              <w:right w:val="single" w:color="auto" w:sz="4" w:space="0"/>
            </w:tcBorders>
            <w:shd w:val="clear" w:color="auto" w:fill="F1F1F1"/>
            <w:vAlign w:val="center"/>
          </w:tcPr>
          <w:p>
            <w:pPr>
              <w:widowControl/>
              <w:snapToGrid w:val="0"/>
              <w:spacing w:line="200" w:lineRule="atLeast"/>
              <w:jc w:val="center"/>
              <w:textAlignment w:val="center"/>
              <w:rPr>
                <w:rFonts w:ascii="黑体" w:hAnsi="黑体" w:eastAsia="黑体" w:cs="黑体"/>
                <w:kern w:val="0"/>
                <w:sz w:val="24"/>
                <w:lang w:val="en" w:bidi="ar"/>
              </w:rPr>
            </w:pPr>
            <w:r>
              <w:rPr>
                <w:rFonts w:hint="eastAsia" w:ascii="黑体" w:hAnsi="黑体" w:eastAsia="黑体" w:cs="黑体"/>
                <w:kern w:val="0"/>
                <w:sz w:val="24"/>
                <w:lang w:val="en" w:bidi="ar"/>
              </w:rPr>
              <w:t>工作主体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tblHeader/>
          <w:jc w:val="center"/>
        </w:trPr>
        <w:tc>
          <w:tcPr>
            <w:tcW w:w="268" w:type="pct"/>
            <w:vMerge w:val="continue"/>
            <w:shd w:val="clear" w:color="auto" w:fill="F1F1F1"/>
            <w:vAlign w:val="center"/>
          </w:tcPr>
          <w:p>
            <w:pPr>
              <w:widowControl/>
              <w:snapToGrid w:val="0"/>
              <w:spacing w:line="200" w:lineRule="atLeast"/>
              <w:jc w:val="center"/>
              <w:rPr>
                <w:rFonts w:ascii="黑体" w:hAnsi="黑体" w:eastAsia="黑体" w:cs="黑体"/>
                <w:bCs/>
                <w:sz w:val="24"/>
              </w:rPr>
            </w:pPr>
          </w:p>
        </w:tc>
        <w:tc>
          <w:tcPr>
            <w:tcW w:w="174" w:type="pct"/>
            <w:shd w:val="clear" w:color="auto" w:fill="F1F1F1"/>
            <w:vAlign w:val="center"/>
          </w:tcPr>
          <w:p>
            <w:pPr>
              <w:widowControl/>
              <w:snapToGrid w:val="0"/>
              <w:spacing w:line="200" w:lineRule="atLeast"/>
              <w:jc w:val="center"/>
              <w:rPr>
                <w:rFonts w:ascii="黑体" w:hAnsi="黑体" w:eastAsia="黑体" w:cs="黑体"/>
                <w:bCs/>
                <w:sz w:val="24"/>
              </w:rPr>
            </w:pPr>
            <w:r>
              <w:rPr>
                <w:rFonts w:hint="eastAsia" w:ascii="黑体" w:hAnsi="黑体" w:eastAsia="黑体" w:cs="黑体"/>
                <w:bCs/>
                <w:sz w:val="24"/>
              </w:rPr>
              <w:t>序号</w:t>
            </w:r>
          </w:p>
        </w:tc>
        <w:tc>
          <w:tcPr>
            <w:tcW w:w="243" w:type="pct"/>
            <w:shd w:val="clear" w:color="auto" w:fill="F1F1F1"/>
            <w:vAlign w:val="center"/>
          </w:tcPr>
          <w:p>
            <w:pPr>
              <w:widowControl/>
              <w:snapToGrid w:val="0"/>
              <w:spacing w:line="200" w:lineRule="atLeast"/>
              <w:jc w:val="center"/>
              <w:rPr>
                <w:rFonts w:ascii="黑体" w:hAnsi="黑体" w:eastAsia="黑体" w:cs="黑体"/>
                <w:bCs/>
                <w:sz w:val="24"/>
              </w:rPr>
            </w:pPr>
            <w:r>
              <w:rPr>
                <w:rFonts w:hint="eastAsia" w:ascii="黑体" w:hAnsi="黑体" w:eastAsia="黑体" w:cs="黑体"/>
                <w:bCs/>
                <w:sz w:val="24"/>
              </w:rPr>
              <w:t>工作环节</w:t>
            </w:r>
          </w:p>
        </w:tc>
        <w:tc>
          <w:tcPr>
            <w:tcW w:w="690" w:type="pct"/>
            <w:shd w:val="clear" w:color="auto" w:fill="F1F1F1"/>
            <w:vAlign w:val="center"/>
          </w:tcPr>
          <w:p>
            <w:pPr>
              <w:widowControl/>
              <w:snapToGrid w:val="0"/>
              <w:spacing w:line="200" w:lineRule="atLeast"/>
              <w:jc w:val="center"/>
              <w:rPr>
                <w:rFonts w:ascii="黑体" w:hAnsi="黑体" w:eastAsia="黑体" w:cs="黑体"/>
                <w:bCs/>
                <w:sz w:val="24"/>
              </w:rPr>
            </w:pPr>
            <w:r>
              <w:rPr>
                <w:rFonts w:hint="eastAsia" w:ascii="黑体" w:hAnsi="黑体" w:eastAsia="黑体" w:cs="黑体"/>
                <w:bCs/>
                <w:kern w:val="0"/>
                <w:sz w:val="24"/>
                <w:lang w:bidi="ar"/>
              </w:rPr>
              <w:t>工作内容</w:t>
            </w:r>
          </w:p>
        </w:tc>
        <w:tc>
          <w:tcPr>
            <w:tcW w:w="3079" w:type="pct"/>
            <w:vMerge w:val="continue"/>
            <w:tcBorders>
              <w:right w:val="single" w:color="auto" w:sz="4" w:space="0"/>
            </w:tcBorders>
            <w:shd w:val="clear" w:color="auto" w:fill="F1F1F1"/>
            <w:vAlign w:val="center"/>
          </w:tcPr>
          <w:p>
            <w:pPr>
              <w:widowControl/>
              <w:snapToGrid w:val="0"/>
              <w:spacing w:line="200" w:lineRule="atLeast"/>
              <w:jc w:val="center"/>
              <w:textAlignment w:val="center"/>
              <w:rPr>
                <w:rFonts w:ascii="仿宋" w:hAnsi="仿宋" w:eastAsia="仿宋" w:cs="仿宋"/>
                <w:b/>
                <w:bCs/>
                <w:sz w:val="24"/>
              </w:rPr>
            </w:pPr>
          </w:p>
        </w:tc>
        <w:tc>
          <w:tcPr>
            <w:tcW w:w="544" w:type="pct"/>
            <w:vMerge w:val="continue"/>
            <w:tcBorders>
              <w:right w:val="single" w:color="auto" w:sz="4" w:space="0"/>
            </w:tcBorders>
            <w:shd w:val="clear" w:color="auto" w:fill="F1F1F1"/>
            <w:vAlign w:val="center"/>
          </w:tcPr>
          <w:p>
            <w:pPr>
              <w:widowControl/>
              <w:snapToGrid w:val="0"/>
              <w:spacing w:line="200" w:lineRule="atLeast"/>
              <w:jc w:val="center"/>
              <w:textAlignment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jc w:val="center"/>
        </w:trPr>
        <w:tc>
          <w:tcPr>
            <w:tcW w:w="268" w:type="pct"/>
            <w:vMerge w:val="restart"/>
            <w:vAlign w:val="center"/>
          </w:tcPr>
          <w:p>
            <w:pPr>
              <w:widowControl/>
              <w:snapToGrid w:val="0"/>
              <w:spacing w:line="200" w:lineRule="atLeast"/>
              <w:jc w:val="center"/>
              <w:rPr>
                <w:rFonts w:hint="eastAsia" w:ascii="仿宋" w:hAnsi="仿宋" w:eastAsia="仿宋" w:cs="仿宋"/>
                <w:sz w:val="24"/>
                <w:lang w:eastAsia="zh-CN"/>
              </w:rPr>
            </w:pPr>
            <w:r>
              <w:rPr>
                <w:rFonts w:hint="eastAsia" w:ascii="仿宋" w:hAnsi="仿宋" w:eastAsia="仿宋" w:cs="仿宋"/>
                <w:sz w:val="24"/>
                <w:lang w:eastAsia="zh-CN"/>
              </w:rPr>
              <w:t>挂牌前</w:t>
            </w:r>
          </w:p>
        </w:tc>
        <w:tc>
          <w:tcPr>
            <w:tcW w:w="174" w:type="pct"/>
            <w:vMerge w:val="restart"/>
            <w:vAlign w:val="center"/>
          </w:tcPr>
          <w:p>
            <w:pPr>
              <w:widowControl/>
              <w:snapToGrid w:val="0"/>
              <w:spacing w:line="200" w:lineRule="atLeast"/>
              <w:jc w:val="center"/>
              <w:textAlignment w:val="center"/>
              <w:rPr>
                <w:rFonts w:hint="eastAsia" w:ascii="仿宋" w:hAnsi="仿宋" w:eastAsia="仿宋" w:cs="仿宋"/>
                <w:kern w:val="0"/>
                <w:sz w:val="24"/>
                <w:lang w:eastAsia="zh-CN" w:bidi="ar"/>
              </w:rPr>
            </w:pPr>
            <w:r>
              <w:rPr>
                <w:rFonts w:hint="eastAsia" w:ascii="仿宋" w:hAnsi="仿宋" w:eastAsia="仿宋" w:cs="仿宋"/>
                <w:kern w:val="0"/>
                <w:sz w:val="24"/>
                <w:lang w:eastAsia="zh-CN" w:bidi="ar"/>
              </w:rPr>
              <w:t>一</w:t>
            </w:r>
          </w:p>
        </w:tc>
        <w:tc>
          <w:tcPr>
            <w:tcW w:w="243" w:type="pct"/>
            <w:vMerge w:val="restart"/>
            <w:vAlign w:val="center"/>
          </w:tcPr>
          <w:p>
            <w:pPr>
              <w:widowControl/>
              <w:snapToGrid w:val="0"/>
              <w:spacing w:line="200" w:lineRule="atLeast"/>
              <w:jc w:val="center"/>
              <w:textAlignment w:val="center"/>
              <w:rPr>
                <w:rFonts w:hint="eastAsia" w:ascii="仿宋" w:hAnsi="仿宋" w:eastAsia="仿宋" w:cs="仿宋"/>
                <w:kern w:val="0"/>
                <w:sz w:val="24"/>
                <w:lang w:eastAsia="zh-CN" w:bidi="ar"/>
              </w:rPr>
            </w:pPr>
            <w:r>
              <w:rPr>
                <w:rFonts w:hint="eastAsia" w:ascii="仿宋" w:hAnsi="仿宋" w:eastAsia="仿宋" w:cs="仿宋"/>
                <w:kern w:val="0"/>
                <w:sz w:val="24"/>
                <w:lang w:eastAsia="zh-CN" w:bidi="ar"/>
              </w:rPr>
              <w:t>项目受理</w:t>
            </w:r>
          </w:p>
        </w:tc>
        <w:tc>
          <w:tcPr>
            <w:tcW w:w="690" w:type="pct"/>
            <w:vAlign w:val="center"/>
          </w:tcPr>
          <w:p>
            <w:pPr>
              <w:widowControl/>
              <w:snapToGrid w:val="0"/>
              <w:spacing w:line="200" w:lineRule="atLeas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lang w:bidi="ar"/>
              </w:rPr>
              <w:t>1</w:t>
            </w:r>
            <w:r>
              <w:rPr>
                <w:rFonts w:hint="eastAsia" w:ascii="仿宋" w:hAnsi="仿宋" w:eastAsia="仿宋" w:cs="仿宋"/>
                <w:kern w:val="0"/>
                <w:sz w:val="24"/>
                <w:lang w:eastAsia="zh-CN" w:bidi="ar"/>
              </w:rPr>
              <w:t>、</w:t>
            </w:r>
            <w:r>
              <w:rPr>
                <w:rFonts w:hint="eastAsia" w:ascii="仿宋" w:hAnsi="仿宋" w:eastAsia="仿宋" w:cs="仿宋"/>
                <w:kern w:val="0"/>
                <w:sz w:val="24"/>
                <w:lang w:bidi="ar"/>
              </w:rPr>
              <w:t>交易委托</w:t>
            </w:r>
          </w:p>
        </w:tc>
        <w:tc>
          <w:tcPr>
            <w:tcW w:w="3079" w:type="pct"/>
            <w:vAlign w:val="center"/>
          </w:tcPr>
          <w:p>
            <w:pPr>
              <w:widowControl/>
              <w:snapToGrid w:val="0"/>
              <w:spacing w:line="200" w:lineRule="atLeast"/>
              <w:textAlignment w:val="center"/>
              <w:rPr>
                <w:rFonts w:ascii="仿宋" w:hAnsi="仿宋" w:eastAsia="仿宋" w:cs="仿宋"/>
                <w:bCs/>
                <w:sz w:val="24"/>
                <w:lang w:val="en"/>
              </w:rPr>
            </w:pPr>
            <w:r>
              <w:rPr>
                <w:rFonts w:hint="eastAsia" w:ascii="仿宋" w:hAnsi="仿宋" w:eastAsia="仿宋" w:cs="仿宋"/>
                <w:bCs/>
                <w:sz w:val="24"/>
                <w:lang w:val="en"/>
              </w:rPr>
              <w:t>1、首次进行网上交易的交易人须办理全省通用的CA数字证书（须含电子印章），并登录湖南省（或市、州）公共资源交易服务平台进行注册，绑定（激活）数字证书。</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rPr>
              <w:t>2.</w:t>
            </w:r>
            <w:r>
              <w:rPr>
                <w:rFonts w:hint="eastAsia" w:ascii="仿宋" w:hAnsi="仿宋" w:eastAsia="仿宋" w:cs="仿宋"/>
                <w:bCs/>
                <w:sz w:val="24"/>
                <w:lang w:val="en"/>
              </w:rPr>
              <w:t>凭CA数字证书登录系统（在市州行政区域内交易的，登录相应市州公共资源交易中心系统；跨市州交易的，登录省公共资源交易中心系统）进行交易委托，按下述要求提交交易委托：</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t>①上传生态环境主管部门批准同意交易的审批件；</w:t>
            </w:r>
          </w:p>
          <w:p>
            <w:pPr>
              <w:widowControl/>
              <w:snapToGrid w:val="0"/>
              <w:spacing w:line="200" w:lineRule="atLeast"/>
              <w:textAlignment w:val="center"/>
              <w:rPr>
                <w:rFonts w:ascii="仿宋" w:hAnsi="仿宋" w:eastAsia="仿宋" w:cs="仿宋"/>
                <w:bCs/>
                <w:sz w:val="24"/>
                <w:lang w:val="en"/>
              </w:rPr>
            </w:pPr>
            <w:r>
              <w:rPr>
                <w:rFonts w:hint="eastAsia" w:ascii="仿宋" w:hAnsi="仿宋" w:eastAsia="仿宋" w:cs="仿宋"/>
                <w:bCs/>
                <w:sz w:val="24"/>
                <w:lang w:val="en"/>
              </w:rPr>
              <w:t>②对</w:t>
            </w:r>
            <w:r>
              <w:rPr>
                <w:rFonts w:hint="eastAsia" w:ascii="仿宋" w:hAnsi="仿宋" w:eastAsia="仿宋" w:cs="仿宋"/>
                <w:bCs/>
                <w:sz w:val="24"/>
              </w:rPr>
              <w:t>系统自动生成的</w:t>
            </w:r>
            <w:r>
              <w:rPr>
                <w:rFonts w:hint="eastAsia" w:ascii="仿宋" w:hAnsi="仿宋" w:eastAsia="仿宋" w:cs="仿宋"/>
                <w:bCs/>
                <w:sz w:val="24"/>
                <w:lang w:val="en"/>
              </w:rPr>
              <w:t>排污权交易委托书进行电子签章后提交。</w:t>
            </w:r>
          </w:p>
          <w:p>
            <w:pPr>
              <w:widowControl/>
              <w:snapToGrid w:val="0"/>
              <w:spacing w:line="200" w:lineRule="atLeast"/>
              <w:textAlignment w:val="center"/>
              <w:rPr>
                <w:rFonts w:hint="eastAsia" w:ascii="仿宋" w:hAnsi="仿宋" w:eastAsia="仿宋" w:cs="仿宋"/>
                <w:bCs/>
                <w:kern w:val="2"/>
                <w:sz w:val="24"/>
                <w:szCs w:val="24"/>
                <w:lang w:val="en" w:eastAsia="zh-CN" w:bidi="ar-SA"/>
              </w:rPr>
            </w:pPr>
            <w:r>
              <w:rPr>
                <w:rFonts w:hint="eastAsia" w:ascii="仿宋" w:hAnsi="仿宋" w:eastAsia="仿宋" w:cs="仿宋"/>
                <w:bCs/>
                <w:sz w:val="24"/>
              </w:rPr>
              <w:t>3</w:t>
            </w:r>
            <w:r>
              <w:rPr>
                <w:rFonts w:hint="eastAsia" w:ascii="仿宋" w:hAnsi="仿宋" w:eastAsia="仿宋" w:cs="仿宋"/>
                <w:bCs/>
                <w:sz w:val="24"/>
                <w:lang w:val="en"/>
              </w:rPr>
              <w:t>、交易人进行电子签章前，应按</w:t>
            </w:r>
            <w:r>
              <w:rPr>
                <w:rFonts w:hint="eastAsia" w:ascii="仿宋" w:hAnsi="仿宋" w:eastAsia="仿宋" w:cs="仿宋"/>
                <w:bCs/>
                <w:sz w:val="24"/>
              </w:rPr>
              <w:t>项目特点</w:t>
            </w:r>
            <w:r>
              <w:rPr>
                <w:rFonts w:hint="eastAsia" w:ascii="仿宋" w:hAnsi="仿宋" w:eastAsia="仿宋" w:cs="仿宋"/>
                <w:bCs/>
                <w:sz w:val="24"/>
                <w:lang w:val="en"/>
              </w:rPr>
              <w:t>填写相关内容。公告类型选择“挂牌公告”的，须填写“起始价”和“加（减）价幅度”；选择“非挂牌公告”的，“起始价”和“加（减）价幅度”栏毋须填写。系统将根据交易人填写内容自动生成交易委托书，交易人电子签章（以下简称签章）后提交，即完成交易委托。</w:t>
            </w:r>
          </w:p>
        </w:tc>
        <w:tc>
          <w:tcPr>
            <w:tcW w:w="544" w:type="pct"/>
            <w:vAlign w:val="center"/>
          </w:tcPr>
          <w:p>
            <w:pPr>
              <w:widowControl/>
              <w:snapToGrid w:val="0"/>
              <w:spacing w:line="200" w:lineRule="atLeast"/>
              <w:jc w:val="center"/>
              <w:textAlignment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sz w:val="24"/>
              </w:rPr>
              <w:t>交易</w:t>
            </w:r>
            <w:bookmarkStart w:id="0" w:name="_GoBack"/>
            <w:bookmarkEnd w:id="0"/>
            <w:r>
              <w:rPr>
                <w:rFonts w:hint="eastAsia" w:ascii="仿宋" w:hAnsi="仿宋" w:eastAsia="仿宋" w:cs="仿宋"/>
                <w:spacing w:val="7"/>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jc w:val="center"/>
        </w:trPr>
        <w:tc>
          <w:tcPr>
            <w:tcW w:w="268" w:type="pct"/>
            <w:vMerge w:val="continue"/>
            <w:vAlign w:val="center"/>
          </w:tcPr>
          <w:p>
            <w:pPr>
              <w:widowControl/>
              <w:snapToGrid w:val="0"/>
              <w:spacing w:line="200" w:lineRule="atLeast"/>
              <w:jc w:val="center"/>
              <w:rPr>
                <w:rFonts w:ascii="仿宋" w:hAnsi="仿宋" w:eastAsia="仿宋" w:cs="仿宋"/>
                <w:sz w:val="24"/>
              </w:rPr>
            </w:pPr>
          </w:p>
        </w:tc>
        <w:tc>
          <w:tcPr>
            <w:tcW w:w="174"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243"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690" w:type="pct"/>
            <w:vAlign w:val="center"/>
          </w:tcPr>
          <w:p>
            <w:pPr>
              <w:widowControl/>
              <w:snapToGrid w:val="0"/>
              <w:spacing w:line="200" w:lineRule="atLeas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lang w:bidi="ar"/>
              </w:rPr>
              <w:t>2</w:t>
            </w:r>
            <w:r>
              <w:rPr>
                <w:rFonts w:hint="eastAsia" w:ascii="仿宋" w:hAnsi="仿宋" w:eastAsia="仿宋" w:cs="仿宋"/>
                <w:kern w:val="0"/>
                <w:sz w:val="24"/>
                <w:lang w:eastAsia="zh-CN" w:bidi="ar"/>
              </w:rPr>
              <w:t>、</w:t>
            </w:r>
            <w:r>
              <w:rPr>
                <w:rStyle w:val="9"/>
                <w:rFonts w:ascii="仿宋" w:hAnsi="仿宋" w:eastAsia="仿宋" w:cs="仿宋"/>
                <w:color w:val="auto"/>
                <w:sz w:val="24"/>
                <w:szCs w:val="24"/>
                <w:lang w:bidi="ar"/>
              </w:rPr>
              <w:t>核对交易信息</w:t>
            </w:r>
          </w:p>
        </w:tc>
        <w:tc>
          <w:tcPr>
            <w:tcW w:w="3079" w:type="pct"/>
            <w:vAlign w:val="center"/>
          </w:tcPr>
          <w:p>
            <w:pPr>
              <w:widowControl/>
              <w:snapToGrid w:val="0"/>
              <w:spacing w:line="200" w:lineRule="atLeast"/>
              <w:textAlignment w:val="center"/>
              <w:rPr>
                <w:rFonts w:hint="eastAsia" w:ascii="仿宋" w:hAnsi="仿宋" w:eastAsia="仿宋" w:cs="仿宋"/>
                <w:spacing w:val="7"/>
                <w:kern w:val="2"/>
                <w:sz w:val="24"/>
                <w:szCs w:val="24"/>
                <w:lang w:val="en-US" w:eastAsia="zh-CN" w:bidi="ar-SA"/>
              </w:rPr>
            </w:pPr>
            <w:r>
              <w:rPr>
                <w:rFonts w:hint="eastAsia" w:ascii="仿宋" w:hAnsi="仿宋" w:eastAsia="仿宋" w:cs="仿宋"/>
                <w:bCs/>
                <w:sz w:val="24"/>
              </w:rPr>
              <w:t>1</w:t>
            </w:r>
            <w:r>
              <w:rPr>
                <w:rFonts w:hint="eastAsia" w:ascii="仿宋" w:hAnsi="仿宋" w:eastAsia="仿宋" w:cs="仿宋"/>
                <w:bCs/>
                <w:sz w:val="24"/>
                <w:lang w:val="en"/>
              </w:rPr>
              <w:t>、</w:t>
            </w:r>
            <w:r>
              <w:rPr>
                <w:rFonts w:hint="eastAsia" w:ascii="仿宋" w:hAnsi="仿宋" w:eastAsia="仿宋" w:cs="仿宋"/>
                <w:bCs/>
                <w:sz w:val="24"/>
              </w:rPr>
              <w:t>交易中心在收到交易委托后2个工作日内完成信息核对，符合进入省交易中心交易条件的予以受理。</w:t>
            </w:r>
            <w:r>
              <w:rPr>
                <w:rFonts w:hint="eastAsia" w:ascii="仿宋" w:hAnsi="仿宋" w:eastAsia="仿宋" w:cs="仿宋"/>
                <w:bCs/>
                <w:sz w:val="24"/>
              </w:rPr>
              <w:br w:type="textWrapping"/>
            </w:r>
            <w:r>
              <w:rPr>
                <w:rFonts w:hint="eastAsia" w:ascii="仿宋" w:hAnsi="仿宋" w:eastAsia="仿宋" w:cs="仿宋"/>
                <w:bCs/>
                <w:sz w:val="24"/>
              </w:rPr>
              <w:t>2、对不符合进场条件的予以退回。</w:t>
            </w:r>
          </w:p>
        </w:tc>
        <w:tc>
          <w:tcPr>
            <w:tcW w:w="544" w:type="pct"/>
            <w:vAlign w:val="center"/>
          </w:tcPr>
          <w:p>
            <w:pPr>
              <w:widowControl/>
              <w:snapToGrid w:val="0"/>
              <w:spacing w:line="200" w:lineRule="atLeast"/>
              <w:jc w:val="center"/>
              <w:textAlignment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sz w:val="24"/>
              </w:rPr>
              <w:t>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jc w:val="center"/>
        </w:trPr>
        <w:tc>
          <w:tcPr>
            <w:tcW w:w="268" w:type="pct"/>
            <w:vMerge w:val="restart"/>
            <w:vAlign w:val="center"/>
          </w:tcPr>
          <w:p>
            <w:pPr>
              <w:widowControl/>
              <w:snapToGrid w:val="0"/>
              <w:spacing w:line="200" w:lineRule="atLeast"/>
              <w:jc w:val="center"/>
              <w:rPr>
                <w:rFonts w:hint="eastAsia" w:ascii="仿宋" w:hAnsi="仿宋" w:eastAsia="仿宋" w:cs="仿宋"/>
                <w:sz w:val="24"/>
                <w:lang w:eastAsia="zh-CN"/>
              </w:rPr>
            </w:pPr>
            <w:r>
              <w:rPr>
                <w:rFonts w:hint="eastAsia" w:ascii="仿宋" w:hAnsi="仿宋" w:eastAsia="仿宋" w:cs="仿宋"/>
                <w:sz w:val="24"/>
                <w:lang w:eastAsia="zh-CN"/>
              </w:rPr>
              <w:t>挂牌中</w:t>
            </w:r>
          </w:p>
        </w:tc>
        <w:tc>
          <w:tcPr>
            <w:tcW w:w="174" w:type="pct"/>
            <w:vMerge w:val="restart"/>
            <w:vAlign w:val="center"/>
          </w:tcPr>
          <w:p>
            <w:pPr>
              <w:widowControl/>
              <w:snapToGrid w:val="0"/>
              <w:spacing w:line="200" w:lineRule="atLeast"/>
              <w:jc w:val="center"/>
              <w:textAlignment w:val="center"/>
              <w:rPr>
                <w:rFonts w:hint="eastAsia" w:ascii="仿宋" w:hAnsi="仿宋" w:eastAsia="仿宋" w:cs="仿宋"/>
                <w:kern w:val="0"/>
                <w:sz w:val="24"/>
                <w:lang w:eastAsia="zh-CN" w:bidi="ar"/>
              </w:rPr>
            </w:pPr>
            <w:r>
              <w:rPr>
                <w:rFonts w:hint="eastAsia" w:ascii="仿宋" w:hAnsi="仿宋" w:eastAsia="仿宋" w:cs="仿宋"/>
                <w:kern w:val="0"/>
                <w:sz w:val="24"/>
                <w:lang w:eastAsia="zh-CN" w:bidi="ar"/>
              </w:rPr>
              <w:t>二</w:t>
            </w:r>
          </w:p>
        </w:tc>
        <w:tc>
          <w:tcPr>
            <w:tcW w:w="243" w:type="pct"/>
            <w:vMerge w:val="restart"/>
            <w:vAlign w:val="center"/>
          </w:tcPr>
          <w:p>
            <w:pPr>
              <w:widowControl/>
              <w:snapToGrid w:val="0"/>
              <w:spacing w:line="200" w:lineRule="atLeast"/>
              <w:jc w:val="center"/>
              <w:textAlignment w:val="center"/>
              <w:rPr>
                <w:rFonts w:hint="eastAsia" w:ascii="仿宋" w:hAnsi="仿宋" w:eastAsia="仿宋" w:cs="仿宋"/>
                <w:color w:val="000000" w:themeColor="text1"/>
                <w:kern w:val="0"/>
                <w:sz w:val="24"/>
                <w:lang w:eastAsia="zh-CN" w:bidi="ar"/>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项目交易</w:t>
            </w:r>
          </w:p>
        </w:tc>
        <w:tc>
          <w:tcPr>
            <w:tcW w:w="690" w:type="pct"/>
            <w:vAlign w:val="center"/>
          </w:tcPr>
          <w:p>
            <w:pPr>
              <w:widowControl/>
              <w:snapToGrid w:val="0"/>
              <w:spacing w:line="200" w:lineRule="atLeast"/>
              <w:jc w:val="left"/>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编辑、发布交易公告</w:t>
            </w:r>
          </w:p>
        </w:tc>
        <w:tc>
          <w:tcPr>
            <w:tcW w:w="3079" w:type="pct"/>
            <w:vAlign w:val="center"/>
          </w:tcPr>
          <w:p>
            <w:pPr>
              <w:snapToGrid w:val="0"/>
              <w:spacing w:line="200" w:lineRule="atLeast"/>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
                <w14:textFill>
                  <w14:solidFill>
                    <w14:schemeClr w14:val="tx1"/>
                  </w14:solidFill>
                </w14:textFill>
              </w:rPr>
              <w:t>1、</w:t>
            </w:r>
            <w:r>
              <w:rPr>
                <w:rFonts w:hint="eastAsia" w:ascii="仿宋" w:hAnsi="仿宋" w:eastAsia="仿宋" w:cs="仿宋"/>
                <w:bCs/>
                <w:color w:val="000000" w:themeColor="text1"/>
                <w:sz w:val="24"/>
                <w14:textFill>
                  <w14:solidFill>
                    <w14:schemeClr w14:val="tx1"/>
                  </w14:solidFill>
                </w14:textFill>
              </w:rPr>
              <w:t>根据交易项目信息编辑交易公告，设置挂牌开始与截止时间。</w:t>
            </w:r>
          </w:p>
          <w:p>
            <w:pPr>
              <w:widowControl/>
              <w:snapToGrid w:val="0"/>
              <w:spacing w:line="200" w:lineRule="atLeast"/>
              <w:jc w:val="left"/>
              <w:textAlignment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2、自项目受理后</w:t>
            </w:r>
            <w:r>
              <w:rPr>
                <w:rFonts w:hint="eastAsia" w:ascii="仿宋" w:hAnsi="仿宋" w:eastAsia="仿宋" w:cs="仿宋"/>
                <w:bCs/>
                <w:color w:val="000000" w:themeColor="text1"/>
                <w:sz w:val="24"/>
                <w:lang w:val="en"/>
                <w14:textFill>
                  <w14:solidFill>
                    <w14:schemeClr w14:val="tx1"/>
                  </w14:solidFill>
                </w14:textFill>
              </w:rPr>
              <w:t>起2个工作日内，</w:t>
            </w:r>
            <w:r>
              <w:rPr>
                <w:rFonts w:hint="eastAsia" w:ascii="仿宋" w:hAnsi="仿宋" w:eastAsia="仿宋" w:cs="仿宋"/>
                <w:bCs/>
                <w:color w:val="000000" w:themeColor="text1"/>
                <w:sz w:val="24"/>
                <w14:textFill>
                  <w14:solidFill>
                    <w14:schemeClr w14:val="tx1"/>
                  </w14:solidFill>
                </w14:textFill>
              </w:rPr>
              <w:t>于湖南省公共资源交易服务平台（http://www.hnsggzy.com/）自动发布交易公告；</w:t>
            </w:r>
          </w:p>
        </w:tc>
        <w:tc>
          <w:tcPr>
            <w:tcW w:w="544" w:type="pct"/>
            <w:vAlign w:val="center"/>
          </w:tcPr>
          <w:p>
            <w:pPr>
              <w:snapToGrid w:val="0"/>
              <w:spacing w:line="200" w:lineRule="atLeast"/>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lang w:val="en"/>
                <w14:textFill>
                  <w14:solidFill>
                    <w14:schemeClr w14:val="tx1"/>
                  </w14:solidFill>
                </w14:textFill>
              </w:rPr>
              <w:t>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jc w:val="center"/>
        </w:trPr>
        <w:tc>
          <w:tcPr>
            <w:tcW w:w="268" w:type="pct"/>
            <w:vMerge w:val="continue"/>
            <w:vAlign w:val="center"/>
          </w:tcPr>
          <w:p>
            <w:pPr>
              <w:widowControl/>
              <w:snapToGrid w:val="0"/>
              <w:spacing w:line="200" w:lineRule="atLeast"/>
              <w:jc w:val="center"/>
              <w:rPr>
                <w:rFonts w:ascii="仿宋" w:hAnsi="仿宋" w:eastAsia="仿宋" w:cs="仿宋"/>
                <w:sz w:val="24"/>
              </w:rPr>
            </w:pPr>
          </w:p>
        </w:tc>
        <w:tc>
          <w:tcPr>
            <w:tcW w:w="174"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243" w:type="pct"/>
            <w:vMerge w:val="continue"/>
            <w:vAlign w:val="center"/>
          </w:tcPr>
          <w:p>
            <w:pPr>
              <w:widowControl/>
              <w:snapToGrid w:val="0"/>
              <w:spacing w:line="200" w:lineRule="atLeas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690" w:type="pct"/>
            <w:vAlign w:val="center"/>
          </w:tcPr>
          <w:p>
            <w:pPr>
              <w:widowControl/>
              <w:snapToGrid w:val="0"/>
              <w:spacing w:line="200" w:lineRule="atLeast"/>
              <w:jc w:val="left"/>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公告变更</w:t>
            </w:r>
          </w:p>
        </w:tc>
        <w:tc>
          <w:tcPr>
            <w:tcW w:w="3079" w:type="pct"/>
            <w:vAlign w:val="center"/>
          </w:tcPr>
          <w:p>
            <w:pPr>
              <w:widowControl/>
              <w:snapToGrid w:val="0"/>
              <w:spacing w:line="200" w:lineRule="atLeast"/>
              <w:jc w:val="left"/>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1、无论转让还是受让项目，交易人在进行交易委托时，公告类型（挂牌或非挂牌）选定并提交后，原则上不能随意变更。</w:t>
            </w:r>
          </w:p>
          <w:p>
            <w:pPr>
              <w:widowControl/>
              <w:snapToGrid w:val="0"/>
              <w:spacing w:line="200" w:lineRule="atLeast"/>
              <w:jc w:val="left"/>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2、确需变更的，可通过系统“公告变更”菜单提交变更申请。</w:t>
            </w:r>
          </w:p>
          <w:p>
            <w:pPr>
              <w:widowControl/>
              <w:snapToGrid w:val="0"/>
              <w:spacing w:line="200" w:lineRule="atLeast"/>
              <w:jc w:val="left"/>
              <w:textAlignment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3、交易中心在收到变更申请后2个工作日内发布变更后的公告内容。</w:t>
            </w:r>
          </w:p>
        </w:tc>
        <w:tc>
          <w:tcPr>
            <w:tcW w:w="544" w:type="pct"/>
            <w:vAlign w:val="center"/>
          </w:tcPr>
          <w:p>
            <w:pPr>
              <w:widowControl/>
              <w:snapToGrid w:val="0"/>
              <w:spacing w:line="200" w:lineRule="atLeast"/>
              <w:jc w:val="center"/>
              <w:textAlignment w:val="center"/>
              <w:rPr>
                <w:rFonts w:ascii="仿宋" w:hAnsi="仿宋" w:eastAsia="仿宋" w:cs="仿宋"/>
                <w:bCs/>
                <w:color w:val="000000" w:themeColor="text1"/>
                <w:sz w:val="24"/>
                <w:lang w:val="en"/>
                <w14:textFill>
                  <w14:solidFill>
                    <w14:schemeClr w14:val="tx1"/>
                  </w14:solidFill>
                </w14:textFill>
              </w:rPr>
            </w:pPr>
            <w:r>
              <w:rPr>
                <w:rFonts w:hint="eastAsia" w:ascii="仿宋" w:hAnsi="仿宋" w:eastAsia="仿宋" w:cs="仿宋"/>
                <w:bCs/>
                <w:color w:val="000000" w:themeColor="text1"/>
                <w:sz w:val="24"/>
                <w:lang w:val="en"/>
                <w14:textFill>
                  <w14:solidFill>
                    <w14:schemeClr w14:val="tx1"/>
                  </w14:solidFill>
                </w14:textFill>
              </w:rPr>
              <w:t>交易中心</w:t>
            </w:r>
          </w:p>
          <w:p>
            <w:pPr>
              <w:widowControl/>
              <w:snapToGrid w:val="0"/>
              <w:spacing w:line="200" w:lineRule="atLeast"/>
              <w:jc w:val="center"/>
              <w:textAlignment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交易人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jc w:val="center"/>
        </w:trPr>
        <w:tc>
          <w:tcPr>
            <w:tcW w:w="268" w:type="pct"/>
            <w:vMerge w:val="continue"/>
            <w:vAlign w:val="center"/>
          </w:tcPr>
          <w:p>
            <w:pPr>
              <w:widowControl/>
              <w:snapToGrid w:val="0"/>
              <w:spacing w:line="200" w:lineRule="atLeast"/>
              <w:jc w:val="center"/>
              <w:rPr>
                <w:rFonts w:ascii="仿宋" w:hAnsi="仿宋" w:eastAsia="仿宋" w:cs="仿宋"/>
                <w:sz w:val="24"/>
              </w:rPr>
            </w:pPr>
          </w:p>
        </w:tc>
        <w:tc>
          <w:tcPr>
            <w:tcW w:w="174"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243"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690" w:type="pct"/>
            <w:vAlign w:val="center"/>
          </w:tcPr>
          <w:p>
            <w:pPr>
              <w:widowControl/>
              <w:snapToGrid w:val="0"/>
              <w:spacing w:line="200" w:lineRule="atLeas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w:t>
            </w:r>
            <w:r>
              <w:rPr>
                <w:rFonts w:hint="eastAsia" w:ascii="仿宋" w:hAnsi="仿宋" w:eastAsia="仿宋" w:cs="仿宋"/>
                <w:sz w:val="24"/>
              </w:rPr>
              <w:t>挂牌竞价</w:t>
            </w:r>
          </w:p>
        </w:tc>
        <w:tc>
          <w:tcPr>
            <w:tcW w:w="3079" w:type="pct"/>
            <w:vAlign w:val="center"/>
          </w:tcPr>
          <w:p>
            <w:pPr>
              <w:snapToGrid w:val="0"/>
              <w:spacing w:line="200" w:lineRule="atLeast"/>
              <w:jc w:val="left"/>
              <w:rPr>
                <w:rFonts w:ascii="仿宋" w:hAnsi="仿宋" w:eastAsia="仿宋" w:cs="仿宋"/>
                <w:bCs/>
                <w:sz w:val="24"/>
              </w:rPr>
            </w:pPr>
            <w:r>
              <w:rPr>
                <w:rFonts w:hint="eastAsia" w:ascii="仿宋" w:hAnsi="仿宋" w:eastAsia="仿宋" w:cs="仿宋"/>
                <w:bCs/>
                <w:sz w:val="24"/>
              </w:rPr>
              <w:t>1、交易系统从挂牌时间开始接受交易人的报价。</w:t>
            </w:r>
          </w:p>
          <w:p>
            <w:pPr>
              <w:snapToGrid w:val="0"/>
              <w:spacing w:line="200" w:lineRule="atLeast"/>
              <w:jc w:val="left"/>
              <w:rPr>
                <w:rFonts w:ascii="仿宋" w:hAnsi="仿宋" w:eastAsia="仿宋" w:cs="仿宋"/>
                <w:bCs/>
                <w:sz w:val="24"/>
              </w:rPr>
            </w:pPr>
            <w:r>
              <w:rPr>
                <w:rFonts w:hint="eastAsia" w:ascii="仿宋" w:hAnsi="仿宋" w:eastAsia="仿宋" w:cs="仿宋"/>
                <w:bCs/>
                <w:sz w:val="24"/>
              </w:rPr>
              <w:t>2、公告类型为非挂牌的交易人登录交易系统，可以在挂牌项目的每一个轮次的竞价时段内进行一轮或多轮报价。所有轮次的报价均是报单价。</w:t>
            </w:r>
          </w:p>
          <w:p>
            <w:pPr>
              <w:snapToGrid w:val="0"/>
              <w:spacing w:line="200" w:lineRule="atLeast"/>
              <w:jc w:val="left"/>
              <w:rPr>
                <w:rFonts w:ascii="仿宋" w:hAnsi="仿宋" w:eastAsia="仿宋" w:cs="仿宋"/>
                <w:bCs/>
                <w:sz w:val="24"/>
              </w:rPr>
            </w:pPr>
            <w:r>
              <w:rPr>
                <w:rFonts w:hint="eastAsia" w:ascii="仿宋" w:hAnsi="仿宋" w:eastAsia="仿宋" w:cs="仿宋"/>
                <w:bCs/>
                <w:sz w:val="24"/>
              </w:rPr>
              <w:t>3、交易系统对符合规定的报价予以确认，显示为当前最高或最低报价，继续接受新的报价；</w:t>
            </w:r>
          </w:p>
          <w:p>
            <w:pPr>
              <w:snapToGrid w:val="0"/>
              <w:spacing w:line="200" w:lineRule="atLeast"/>
              <w:jc w:val="left"/>
              <w:rPr>
                <w:rFonts w:ascii="仿宋" w:hAnsi="仿宋" w:eastAsia="仿宋" w:cs="仿宋"/>
                <w:bCs/>
                <w:sz w:val="24"/>
              </w:rPr>
            </w:pPr>
            <w:r>
              <w:rPr>
                <w:rFonts w:hint="eastAsia" w:ascii="仿宋" w:hAnsi="仿宋" w:eastAsia="仿宋" w:cs="仿宋"/>
                <w:bCs/>
                <w:sz w:val="24"/>
              </w:rPr>
              <w:t>4、竞价时段。挂牌项目每一个轮次的竞价时段包括挂牌期竞价和限时竞价两个时段。</w:t>
            </w:r>
          </w:p>
          <w:p>
            <w:pPr>
              <w:snapToGrid w:val="0"/>
              <w:spacing w:line="200" w:lineRule="atLeast"/>
              <w:jc w:val="left"/>
              <w:rPr>
                <w:rFonts w:ascii="仿宋" w:hAnsi="仿宋" w:eastAsia="仿宋" w:cs="仿宋"/>
                <w:bCs/>
                <w:sz w:val="24"/>
              </w:rPr>
            </w:pPr>
            <w:r>
              <w:rPr>
                <w:rFonts w:hint="eastAsia" w:ascii="仿宋" w:hAnsi="仿宋" w:eastAsia="仿宋" w:cs="仿宋"/>
                <w:bCs/>
                <w:sz w:val="24"/>
              </w:rPr>
              <w:t>（1）挂牌期竞价期。是指在挂牌开始至挂牌截止时段内，交易人可无次数限制的加价（或减价）报价。</w:t>
            </w:r>
          </w:p>
          <w:p>
            <w:pPr>
              <w:snapToGrid w:val="0"/>
              <w:spacing w:line="200" w:lineRule="atLeast"/>
              <w:jc w:val="left"/>
              <w:rPr>
                <w:rFonts w:ascii="仿宋" w:hAnsi="仿宋" w:eastAsia="仿宋" w:cs="仿宋"/>
                <w:bCs/>
                <w:sz w:val="24"/>
              </w:rPr>
            </w:pPr>
            <w:r>
              <w:rPr>
                <w:rFonts w:hint="eastAsia" w:ascii="仿宋" w:hAnsi="仿宋" w:eastAsia="仿宋" w:cs="仿宋"/>
                <w:bCs/>
                <w:sz w:val="24"/>
              </w:rPr>
              <w:t>（2）限时竞价期。是指挂牌期竞价期结束后，系统即时进入限时竞价期。限时竞价期依次包括时长4分钟的询问期时段和时长4分钟的竞价时段；询问期内只要有人点击“同意”按钮，则立即进入竞价时段；限时时段内只要有新的报价，则进入下一个时长4分钟的竞价时段，依次循环；竞价时段内如没有出现新的报价，则依成交原则成交，本轮次竞价程序结束。</w:t>
            </w:r>
          </w:p>
          <w:p>
            <w:pPr>
              <w:snapToGrid w:val="0"/>
              <w:spacing w:line="200" w:lineRule="atLeast"/>
              <w:jc w:val="left"/>
              <w:rPr>
                <w:rFonts w:hint="eastAsia" w:ascii="仿宋" w:hAnsi="仿宋" w:eastAsia="仿宋" w:cs="仿宋"/>
                <w:bCs/>
                <w:kern w:val="2"/>
                <w:sz w:val="24"/>
                <w:szCs w:val="24"/>
                <w:lang w:val="en-US" w:eastAsia="zh-CN" w:bidi="ar-SA"/>
              </w:rPr>
            </w:pPr>
            <w:r>
              <w:rPr>
                <w:rFonts w:hint="eastAsia" w:ascii="仿宋" w:hAnsi="仿宋" w:eastAsia="仿宋" w:cs="仿宋"/>
                <w:bCs/>
                <w:sz w:val="24"/>
              </w:rPr>
              <w:t>（3）挂牌竞价再循环。只要挂牌项目污染物数量在上轮竞价结束后未成交完毕的，系统将即时启动新一轮的竞价再循环程序（挂牌期时长与上轮次时长相同），如此反复，直至该项目污染物数量被全部成交完毕。再循环的间隔时间（小时数），由交易中心在该项目首次发布公告前预先设定。</w:t>
            </w:r>
          </w:p>
        </w:tc>
        <w:tc>
          <w:tcPr>
            <w:tcW w:w="544" w:type="pct"/>
            <w:vAlign w:val="center"/>
          </w:tcPr>
          <w:p>
            <w:pPr>
              <w:snapToGrid w:val="0"/>
              <w:spacing w:line="200" w:lineRule="atLeas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rPr>
              <w:t>交易人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jc w:val="center"/>
        </w:trPr>
        <w:tc>
          <w:tcPr>
            <w:tcW w:w="268" w:type="pct"/>
            <w:vMerge w:val="restart"/>
            <w:vAlign w:val="center"/>
          </w:tcPr>
          <w:p>
            <w:pPr>
              <w:widowControl/>
              <w:snapToGrid w:val="0"/>
              <w:spacing w:line="200" w:lineRule="atLeas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挂牌后</w:t>
            </w:r>
          </w:p>
        </w:tc>
        <w:tc>
          <w:tcPr>
            <w:tcW w:w="174" w:type="pct"/>
            <w:vMerge w:val="restart"/>
            <w:vAlign w:val="center"/>
          </w:tcPr>
          <w:p>
            <w:pPr>
              <w:widowControl/>
              <w:snapToGrid w:val="0"/>
              <w:spacing w:line="200" w:lineRule="atLeast"/>
              <w:jc w:val="center"/>
              <w:textAlignment w:val="center"/>
              <w:rPr>
                <w:rFonts w:hint="eastAsia" w:ascii="仿宋" w:hAnsi="仿宋" w:eastAsia="仿宋" w:cs="仿宋"/>
                <w:color w:val="000000" w:themeColor="text1"/>
                <w:kern w:val="0"/>
                <w:sz w:val="24"/>
                <w:lang w:eastAsia="zh-CN" w:bidi="ar"/>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三</w:t>
            </w:r>
          </w:p>
        </w:tc>
        <w:tc>
          <w:tcPr>
            <w:tcW w:w="243" w:type="pct"/>
            <w:vMerge w:val="restart"/>
            <w:vAlign w:val="center"/>
          </w:tcPr>
          <w:p>
            <w:pPr>
              <w:widowControl/>
              <w:snapToGrid w:val="0"/>
              <w:spacing w:line="200" w:lineRule="atLeast"/>
              <w:jc w:val="center"/>
              <w:textAlignment w:val="center"/>
              <w:rPr>
                <w:rFonts w:hint="eastAsia" w:ascii="仿宋" w:hAnsi="仿宋" w:eastAsia="仿宋" w:cs="仿宋"/>
                <w:color w:val="000000" w:themeColor="text1"/>
                <w:kern w:val="0"/>
                <w:sz w:val="24"/>
                <w:lang w:eastAsia="zh-CN" w:bidi="ar"/>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成交确认</w:t>
            </w:r>
          </w:p>
        </w:tc>
        <w:tc>
          <w:tcPr>
            <w:tcW w:w="690" w:type="pct"/>
            <w:vAlign w:val="center"/>
          </w:tcPr>
          <w:p>
            <w:pPr>
              <w:widowControl/>
              <w:snapToGrid w:val="0"/>
              <w:spacing w:line="200" w:lineRule="atLeast"/>
              <w:jc w:val="left"/>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val="en"/>
                <w14:textFill>
                  <w14:solidFill>
                    <w14:schemeClr w14:val="tx1"/>
                  </w14:solidFill>
                </w14:textFill>
              </w:rPr>
              <w:t>1</w:t>
            </w:r>
            <w:r>
              <w:rPr>
                <w:rFonts w:hint="eastAsia" w:ascii="仿宋" w:hAnsi="仿宋" w:eastAsia="仿宋" w:cs="仿宋"/>
                <w:color w:val="000000" w:themeColor="text1"/>
                <w:sz w:val="24"/>
                <w:lang w:val="en"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确认竞得人</w:t>
            </w:r>
          </w:p>
        </w:tc>
        <w:tc>
          <w:tcPr>
            <w:tcW w:w="3079" w:type="pct"/>
            <w:vAlign w:val="center"/>
          </w:tcPr>
          <w:p>
            <w:pPr>
              <w:widowControl/>
              <w:snapToGrid w:val="0"/>
              <w:spacing w:line="200" w:lineRule="atLeast"/>
              <w:jc w:val="left"/>
              <w:textAlignment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1、成交原则。无论挂牌期内还是限时竞价期内，转让挂牌的项目，按价高者得的原则成交确定受让方；受让挂牌的项目，按价低者得的原则成交确定转让方。</w:t>
            </w:r>
            <w:r>
              <w:rPr>
                <w:rFonts w:hint="eastAsia" w:ascii="仿宋" w:hAnsi="仿宋" w:eastAsia="仿宋" w:cs="仿宋"/>
                <w:bCs/>
                <w:color w:val="000000" w:themeColor="text1"/>
                <w:sz w:val="24"/>
                <w14:textFill>
                  <w14:solidFill>
                    <w14:schemeClr w14:val="tx1"/>
                  </w14:solidFill>
                </w14:textFill>
              </w:rPr>
              <w:br w:type="textWrapping"/>
            </w:r>
            <w:r>
              <w:rPr>
                <w:rFonts w:hint="eastAsia" w:ascii="仿宋" w:hAnsi="仿宋" w:eastAsia="仿宋" w:cs="仿宋"/>
                <w:bCs/>
                <w:color w:val="000000" w:themeColor="text1"/>
                <w:sz w:val="24"/>
                <w14:textFill>
                  <w14:solidFill>
                    <w14:schemeClr w14:val="tx1"/>
                  </w14:solidFill>
                </w14:textFill>
              </w:rPr>
              <w:t>2、系统按照成交原则，自动确认竞得人并自动发布成交公告。</w:t>
            </w:r>
          </w:p>
        </w:tc>
        <w:tc>
          <w:tcPr>
            <w:tcW w:w="544" w:type="pct"/>
            <w:vAlign w:val="center"/>
          </w:tcPr>
          <w:p>
            <w:pPr>
              <w:widowControl/>
              <w:snapToGrid w:val="0"/>
              <w:spacing w:line="200" w:lineRule="atLeast"/>
              <w:jc w:val="center"/>
              <w:textAlignment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jc w:val="center"/>
        </w:trPr>
        <w:tc>
          <w:tcPr>
            <w:tcW w:w="268" w:type="pct"/>
            <w:vMerge w:val="continue"/>
            <w:vAlign w:val="center"/>
          </w:tcPr>
          <w:p>
            <w:pPr>
              <w:widowControl/>
              <w:snapToGrid w:val="0"/>
              <w:spacing w:line="200" w:lineRule="atLeast"/>
              <w:jc w:val="center"/>
              <w:rPr>
                <w:rFonts w:ascii="仿宋" w:hAnsi="仿宋" w:eastAsia="仿宋" w:cs="仿宋"/>
                <w:sz w:val="24"/>
              </w:rPr>
            </w:pPr>
          </w:p>
        </w:tc>
        <w:tc>
          <w:tcPr>
            <w:tcW w:w="174"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243"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690" w:type="pct"/>
            <w:vAlign w:val="center"/>
          </w:tcPr>
          <w:p>
            <w:pPr>
              <w:widowControl/>
              <w:snapToGrid w:val="0"/>
              <w:spacing w:line="200" w:lineRule="atLeas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lang w:val="en"/>
              </w:rPr>
              <w:t>交易资金结算</w:t>
            </w:r>
          </w:p>
        </w:tc>
        <w:tc>
          <w:tcPr>
            <w:tcW w:w="3079" w:type="pct"/>
            <w:vAlign w:val="center"/>
          </w:tcPr>
          <w:p>
            <w:pPr>
              <w:snapToGrid w:val="0"/>
              <w:spacing w:line="200" w:lineRule="atLeast"/>
              <w:jc w:val="left"/>
              <w:rPr>
                <w:rFonts w:ascii="仿宋" w:hAnsi="仿宋" w:eastAsia="仿宋" w:cs="仿宋"/>
                <w:bCs/>
                <w:sz w:val="24"/>
              </w:rPr>
            </w:pPr>
            <w:r>
              <w:rPr>
                <w:rFonts w:hint="eastAsia" w:ascii="仿宋" w:hAnsi="仿宋" w:eastAsia="仿宋" w:cs="仿宋"/>
                <w:bCs/>
                <w:sz w:val="24"/>
              </w:rPr>
              <w:t>1、成交公告发布后，交易双方应及时登录系统，对交易合同进行电子签章、进行交易资金结算。</w:t>
            </w:r>
          </w:p>
          <w:p>
            <w:pPr>
              <w:snapToGrid w:val="0"/>
              <w:spacing w:line="200" w:lineRule="atLeast"/>
              <w:jc w:val="left"/>
              <w:rPr>
                <w:rFonts w:hint="eastAsia" w:ascii="仿宋" w:hAnsi="仿宋" w:eastAsia="仿宋" w:cs="仿宋"/>
                <w:bCs/>
                <w:kern w:val="2"/>
                <w:sz w:val="24"/>
                <w:szCs w:val="24"/>
                <w:lang w:val="en-US" w:eastAsia="zh-CN" w:bidi="ar-SA"/>
              </w:rPr>
            </w:pPr>
            <w:r>
              <w:rPr>
                <w:rFonts w:hint="eastAsia" w:ascii="仿宋" w:hAnsi="仿宋" w:eastAsia="仿宋" w:cs="仿宋"/>
                <w:bCs/>
                <w:sz w:val="24"/>
              </w:rPr>
              <w:t>2、将自检结算凭证（付款凭证、收款凭证）上传至交易系统。</w:t>
            </w:r>
          </w:p>
        </w:tc>
        <w:tc>
          <w:tcPr>
            <w:tcW w:w="544" w:type="pct"/>
            <w:vAlign w:val="center"/>
          </w:tcPr>
          <w:p>
            <w:pPr>
              <w:snapToGrid w:val="0"/>
              <w:spacing w:line="200" w:lineRule="atLeas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rPr>
              <w:t>交易人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jc w:val="center"/>
        </w:trPr>
        <w:tc>
          <w:tcPr>
            <w:tcW w:w="268" w:type="pct"/>
            <w:vMerge w:val="continue"/>
            <w:vAlign w:val="center"/>
          </w:tcPr>
          <w:p>
            <w:pPr>
              <w:widowControl/>
              <w:snapToGrid w:val="0"/>
              <w:spacing w:line="200" w:lineRule="atLeast"/>
              <w:jc w:val="center"/>
              <w:rPr>
                <w:rFonts w:ascii="仿宋" w:hAnsi="仿宋" w:eastAsia="仿宋" w:cs="仿宋"/>
                <w:sz w:val="24"/>
              </w:rPr>
            </w:pPr>
          </w:p>
        </w:tc>
        <w:tc>
          <w:tcPr>
            <w:tcW w:w="174"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243"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690" w:type="pct"/>
            <w:vAlign w:val="center"/>
          </w:tcPr>
          <w:p>
            <w:pPr>
              <w:widowControl/>
              <w:snapToGrid w:val="0"/>
              <w:spacing w:line="200" w:lineRule="atLeas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发布</w:t>
            </w:r>
            <w:r>
              <w:rPr>
                <w:rFonts w:hint="eastAsia" w:ascii="仿宋" w:hAnsi="仿宋" w:eastAsia="仿宋" w:cs="仿宋"/>
                <w:sz w:val="24"/>
                <w:lang w:val="en"/>
              </w:rPr>
              <w:t>成交确认书</w:t>
            </w:r>
          </w:p>
        </w:tc>
        <w:tc>
          <w:tcPr>
            <w:tcW w:w="3079" w:type="pct"/>
            <w:vAlign w:val="center"/>
          </w:tcPr>
          <w:p>
            <w:pPr>
              <w:widowControl/>
              <w:wordWrap w:val="0"/>
              <w:spacing w:line="360" w:lineRule="atLeast"/>
              <w:jc w:val="left"/>
              <w:rPr>
                <w:rFonts w:hint="eastAsia" w:ascii="仿宋" w:hAnsi="仿宋" w:eastAsia="仿宋" w:cs="仿宋"/>
                <w:bCs/>
                <w:kern w:val="2"/>
                <w:sz w:val="24"/>
                <w:szCs w:val="24"/>
                <w:lang w:val="en-US" w:eastAsia="zh-CN" w:bidi="ar-SA"/>
              </w:rPr>
            </w:pPr>
            <w:r>
              <w:rPr>
                <w:rFonts w:hint="eastAsia" w:ascii="仿宋" w:hAnsi="仿宋" w:eastAsia="仿宋" w:cs="仿宋"/>
                <w:bCs/>
                <w:sz w:val="24"/>
              </w:rPr>
              <w:t>1、交易的资金结算凭证均上传后，交易中心于2个工作日内出具《湖南省主要污染物排污权进场交易确认书》，竞得人可登录系统查看下载打印。</w:t>
            </w:r>
          </w:p>
        </w:tc>
        <w:tc>
          <w:tcPr>
            <w:tcW w:w="544" w:type="pct"/>
            <w:vAlign w:val="center"/>
          </w:tcPr>
          <w:p>
            <w:pPr>
              <w:snapToGrid w:val="0"/>
              <w:spacing w:line="200" w:lineRule="atLeast"/>
              <w:jc w:val="center"/>
              <w:rPr>
                <w:rFonts w:ascii="仿宋" w:hAnsi="仿宋" w:eastAsia="仿宋" w:cs="仿宋"/>
                <w:bCs/>
                <w:sz w:val="24"/>
              </w:rPr>
            </w:pPr>
            <w:r>
              <w:rPr>
                <w:rFonts w:hint="eastAsia" w:ascii="仿宋" w:hAnsi="仿宋" w:eastAsia="仿宋" w:cs="仿宋"/>
                <w:bCs/>
                <w:sz w:val="24"/>
              </w:rPr>
              <w:t>交易中心</w:t>
            </w:r>
          </w:p>
          <w:p>
            <w:pPr>
              <w:snapToGrid w:val="0"/>
              <w:spacing w:line="200" w:lineRule="atLeas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rPr>
              <w:t>交易人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 w:hRule="atLeast"/>
          <w:jc w:val="center"/>
        </w:trPr>
        <w:tc>
          <w:tcPr>
            <w:tcW w:w="268" w:type="pct"/>
            <w:vAlign w:val="center"/>
          </w:tcPr>
          <w:p>
            <w:pPr>
              <w:widowControl/>
              <w:snapToGrid w:val="0"/>
              <w:jc w:val="center"/>
              <w:rPr>
                <w:rFonts w:ascii="仿宋" w:hAnsi="仿宋" w:eastAsia="仿宋" w:cs="仿宋"/>
                <w:sz w:val="24"/>
              </w:rPr>
            </w:pPr>
            <w:r>
              <w:rPr>
                <w:rFonts w:hint="eastAsia" w:ascii="仿宋" w:hAnsi="仿宋" w:eastAsia="仿宋" w:cs="仿宋"/>
                <w:sz w:val="24"/>
              </w:rPr>
              <w:t>说明</w:t>
            </w:r>
          </w:p>
        </w:tc>
        <w:tc>
          <w:tcPr>
            <w:tcW w:w="4731" w:type="pct"/>
            <w:gridSpan w:val="5"/>
            <w:vAlign w:val="center"/>
          </w:tcPr>
          <w:p>
            <w:pPr>
              <w:widowControl/>
              <w:numPr>
                <w:ilvl w:val="255"/>
                <w:numId w:val="0"/>
              </w:numPr>
              <w:snapToGrid w:val="0"/>
              <w:spacing w:line="220" w:lineRule="exact"/>
              <w:jc w:val="left"/>
              <w:textAlignment w:val="center"/>
              <w:rPr>
                <w:rFonts w:ascii="仿宋" w:hAnsi="仿宋" w:eastAsia="仿宋" w:cs="仿宋"/>
                <w:kern w:val="0"/>
                <w:sz w:val="24"/>
                <w:lang w:bidi="ar"/>
              </w:rPr>
            </w:pPr>
          </w:p>
        </w:tc>
      </w:tr>
    </w:tbl>
    <w:p>
      <w:r>
        <w:rPr>
          <w:rFonts w:hint="eastAsia" w:ascii="黑体" w:hAnsi="黑体" w:eastAsia="黑体" w:cs="黑体"/>
          <w:sz w:val="36"/>
          <w:szCs w:val="36"/>
        </w:rPr>
        <w:t xml:space="preserve">                                 </w:t>
      </w:r>
    </w:p>
    <w:sectPr>
      <w:pgSz w:w="16840" w:h="11850"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YThiY2M0NTJiMzNjNzFlZWFlNzAzOWZmNTYxZjUifQ=="/>
  </w:docVars>
  <w:rsids>
    <w:rsidRoot w:val="00AB7D52"/>
    <w:rsid w:val="00243030"/>
    <w:rsid w:val="00412A31"/>
    <w:rsid w:val="005236AE"/>
    <w:rsid w:val="00560405"/>
    <w:rsid w:val="006F3035"/>
    <w:rsid w:val="0097361D"/>
    <w:rsid w:val="00A57CA6"/>
    <w:rsid w:val="00A70F9A"/>
    <w:rsid w:val="00AB7D52"/>
    <w:rsid w:val="00B20878"/>
    <w:rsid w:val="00E22807"/>
    <w:rsid w:val="00FB674C"/>
    <w:rsid w:val="00FC2654"/>
    <w:rsid w:val="00FE1B52"/>
    <w:rsid w:val="0192652E"/>
    <w:rsid w:val="04727636"/>
    <w:rsid w:val="0A3E65AB"/>
    <w:rsid w:val="0B6C5ED2"/>
    <w:rsid w:val="0BFB05F7"/>
    <w:rsid w:val="0C5D1BAD"/>
    <w:rsid w:val="0E823BDC"/>
    <w:rsid w:val="0E942C3D"/>
    <w:rsid w:val="0EC23D41"/>
    <w:rsid w:val="0ED440E6"/>
    <w:rsid w:val="0F521683"/>
    <w:rsid w:val="11743EBE"/>
    <w:rsid w:val="11B97FD9"/>
    <w:rsid w:val="11C22383"/>
    <w:rsid w:val="11E22FD9"/>
    <w:rsid w:val="131859B5"/>
    <w:rsid w:val="13815EDF"/>
    <w:rsid w:val="14650A01"/>
    <w:rsid w:val="14FA7941"/>
    <w:rsid w:val="163928F5"/>
    <w:rsid w:val="16747876"/>
    <w:rsid w:val="17E57F7D"/>
    <w:rsid w:val="18D75BAC"/>
    <w:rsid w:val="193B171A"/>
    <w:rsid w:val="1AFC516F"/>
    <w:rsid w:val="1E5163DB"/>
    <w:rsid w:val="1F92704C"/>
    <w:rsid w:val="23343D8A"/>
    <w:rsid w:val="23BA00B1"/>
    <w:rsid w:val="25B137C9"/>
    <w:rsid w:val="26653A61"/>
    <w:rsid w:val="26CF1B59"/>
    <w:rsid w:val="275C211F"/>
    <w:rsid w:val="29001E4B"/>
    <w:rsid w:val="2BFE6E4E"/>
    <w:rsid w:val="2CD65ABA"/>
    <w:rsid w:val="2D0068BE"/>
    <w:rsid w:val="2FDD659E"/>
    <w:rsid w:val="320E6CB0"/>
    <w:rsid w:val="32FE2DED"/>
    <w:rsid w:val="33482D6D"/>
    <w:rsid w:val="3601278A"/>
    <w:rsid w:val="363A7D25"/>
    <w:rsid w:val="363B4A32"/>
    <w:rsid w:val="364A63CD"/>
    <w:rsid w:val="36B67FED"/>
    <w:rsid w:val="38D363E5"/>
    <w:rsid w:val="39E02B23"/>
    <w:rsid w:val="3B5F6679"/>
    <w:rsid w:val="3CBB3477"/>
    <w:rsid w:val="3EA77654"/>
    <w:rsid w:val="3EAB0813"/>
    <w:rsid w:val="3FEA7F70"/>
    <w:rsid w:val="3FEF4067"/>
    <w:rsid w:val="409A44DC"/>
    <w:rsid w:val="40F85D6A"/>
    <w:rsid w:val="4220171D"/>
    <w:rsid w:val="42EB7E09"/>
    <w:rsid w:val="43C61DB5"/>
    <w:rsid w:val="4D4C4790"/>
    <w:rsid w:val="4DE90B17"/>
    <w:rsid w:val="4ED132E2"/>
    <w:rsid w:val="4F446D22"/>
    <w:rsid w:val="4FEB640A"/>
    <w:rsid w:val="51D922AF"/>
    <w:rsid w:val="532317F1"/>
    <w:rsid w:val="55EE2EA8"/>
    <w:rsid w:val="565C2507"/>
    <w:rsid w:val="5879437D"/>
    <w:rsid w:val="59590E2B"/>
    <w:rsid w:val="5A37379F"/>
    <w:rsid w:val="5BCE11B3"/>
    <w:rsid w:val="5C1E107B"/>
    <w:rsid w:val="5D0B73F2"/>
    <w:rsid w:val="5D813A81"/>
    <w:rsid w:val="5E3F545B"/>
    <w:rsid w:val="5FB44AA0"/>
    <w:rsid w:val="5FC164C2"/>
    <w:rsid w:val="636E6267"/>
    <w:rsid w:val="64C71494"/>
    <w:rsid w:val="65B83C57"/>
    <w:rsid w:val="65F76642"/>
    <w:rsid w:val="67B97A73"/>
    <w:rsid w:val="6A7A2B04"/>
    <w:rsid w:val="6BF68190"/>
    <w:rsid w:val="6D104C61"/>
    <w:rsid w:val="6D254FA9"/>
    <w:rsid w:val="6E9B3E8E"/>
    <w:rsid w:val="703C1DD4"/>
    <w:rsid w:val="71685E12"/>
    <w:rsid w:val="73D223F2"/>
    <w:rsid w:val="74847EDE"/>
    <w:rsid w:val="756C18CA"/>
    <w:rsid w:val="75D94833"/>
    <w:rsid w:val="75EC5226"/>
    <w:rsid w:val="79FEEB19"/>
    <w:rsid w:val="7DCFDF03"/>
    <w:rsid w:val="7E217FF4"/>
    <w:rsid w:val="8DF17E89"/>
    <w:rsid w:val="B3FE908A"/>
    <w:rsid w:val="BBDF671F"/>
    <w:rsid w:val="CFD67F69"/>
    <w:rsid w:val="EEFB5E3F"/>
    <w:rsid w:val="EFFE79BD"/>
    <w:rsid w:val="F3FBBB79"/>
    <w:rsid w:val="FDFD16DD"/>
    <w:rsid w:val="FFAFF0A1"/>
    <w:rsid w:val="FFFEF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段落内容"/>
    <w:basedOn w:val="1"/>
    <w:qFormat/>
    <w:uiPriority w:val="0"/>
    <w:rPr>
      <w:kern w:val="0"/>
      <w:lang w:bidi="en-US"/>
    </w:rPr>
  </w:style>
  <w:style w:type="character" w:customStyle="1" w:styleId="9">
    <w:name w:val="font61"/>
    <w:basedOn w:val="7"/>
    <w:qFormat/>
    <w:uiPriority w:val="0"/>
    <w:rPr>
      <w:rFonts w:hint="eastAsia" w:ascii="宋体" w:hAnsi="宋体" w:eastAsia="宋体" w:cs="宋体"/>
      <w:color w:val="000000"/>
      <w:sz w:val="21"/>
      <w:szCs w:val="21"/>
      <w:u w:val="none"/>
    </w:rPr>
  </w:style>
  <w:style w:type="paragraph" w:customStyle="1" w:styleId="10">
    <w:name w:val="修订1"/>
    <w:hidden/>
    <w:semiHidden/>
    <w:qFormat/>
    <w:uiPriority w:val="99"/>
    <w:rPr>
      <w:rFonts w:ascii="Calibri" w:hAnsi="Calibri" w:eastAsia="宋体" w:cs="Times New Roman"/>
      <w:kern w:val="2"/>
      <w:sz w:val="21"/>
      <w:szCs w:val="24"/>
      <w:lang w:val="en-US" w:eastAsia="zh-CN" w:bidi="ar-SA"/>
    </w:rPr>
  </w:style>
  <w:style w:type="character" w:customStyle="1" w:styleId="11">
    <w:name w:val="页眉 Char"/>
    <w:basedOn w:val="7"/>
    <w:link w:val="5"/>
    <w:qFormat/>
    <w:uiPriority w:val="0"/>
    <w:rPr>
      <w:kern w:val="2"/>
      <w:sz w:val="18"/>
      <w:szCs w:val="18"/>
    </w:rPr>
  </w:style>
  <w:style w:type="character" w:customStyle="1" w:styleId="12">
    <w:name w:val="页脚 Char"/>
    <w:basedOn w:val="7"/>
    <w:link w:val="4"/>
    <w:qFormat/>
    <w:uiPriority w:val="0"/>
    <w:rPr>
      <w:kern w:val="2"/>
      <w:sz w:val="18"/>
      <w:szCs w:val="18"/>
    </w:rPr>
  </w:style>
  <w:style w:type="character" w:customStyle="1" w:styleId="13">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245</Words>
  <Characters>1399</Characters>
  <Lines>11</Lines>
  <Paragraphs>3</Paragraphs>
  <TotalTime>6</TotalTime>
  <ScaleCrop>false</ScaleCrop>
  <LinksUpToDate>false</LinksUpToDate>
  <CharactersWithSpaces>1641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jyzx</cp:lastModifiedBy>
  <cp:lastPrinted>2023-01-11T14:21:00Z</cp:lastPrinted>
  <dcterms:modified xsi:type="dcterms:W3CDTF">2023-01-11T14:56:56Z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C4BC92A14D5245D4AC36FB8C040403A0</vt:lpwstr>
  </property>
</Properties>
</file>