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24" w:rightChars="10"/>
        <w:jc w:val="both"/>
        <w:rPr>
          <w:rFonts w:hint="default" w:ascii="Times New Roman" w:hAnsi="Times New Roman" w:eastAsia="黑体" w:cs="Times New Roman"/>
          <w:bCs/>
          <w:sz w:val="28"/>
          <w:szCs w:val="28"/>
          <w:lang w:val="en-US" w:eastAsia="zh-CN"/>
        </w:rPr>
      </w:pPr>
      <w:bookmarkStart w:id="0" w:name="_GoBack"/>
      <w:bookmarkEnd w:id="0"/>
      <w:r>
        <w:rPr>
          <w:rFonts w:hint="default" w:ascii="Times New Roman" w:hAnsi="Times New Roman" w:eastAsia="黑体" w:cs="Times New Roman"/>
          <w:bCs/>
          <w:sz w:val="28"/>
          <w:szCs w:val="28"/>
          <w:lang w:eastAsia="zh-CN"/>
        </w:rPr>
        <w:t>附件</w:t>
      </w:r>
      <w:r>
        <w:rPr>
          <w:rFonts w:hint="default" w:ascii="Times New Roman" w:hAnsi="Times New Roman" w:eastAsia="黑体" w:cs="Times New Roman"/>
          <w:bCs/>
          <w:sz w:val="28"/>
          <w:szCs w:val="28"/>
          <w:lang w:val="en-US" w:eastAsia="zh-CN"/>
        </w:rPr>
        <w:t>1</w:t>
      </w:r>
    </w:p>
    <w:p>
      <w:pPr>
        <w:spacing w:line="640" w:lineRule="exact"/>
        <w:ind w:right="24" w:rightChars="1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天津市政府集中采购目录和采购</w:t>
      </w:r>
    </w:p>
    <w:p>
      <w:pPr>
        <w:spacing w:line="640" w:lineRule="exact"/>
        <w:ind w:right="24" w:rightChars="1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限额标准（202</w:t>
      </w:r>
      <w:r>
        <w:rPr>
          <w:rFonts w:hint="default" w:ascii="Times New Roman" w:hAnsi="Times New Roman" w:eastAsia="方正小标宋简体" w:cs="Times New Roman"/>
          <w:bCs/>
          <w:sz w:val="44"/>
          <w:szCs w:val="44"/>
          <w:lang w:val="en-US" w:eastAsia="zh-CN"/>
        </w:rPr>
        <w:t>4</w:t>
      </w:r>
      <w:r>
        <w:rPr>
          <w:rFonts w:hint="default" w:ascii="Times New Roman" w:hAnsi="Times New Roman" w:eastAsia="方正小标宋简体" w:cs="Times New Roman"/>
          <w:bCs/>
          <w:sz w:val="44"/>
          <w:szCs w:val="44"/>
        </w:rPr>
        <w:t>年版）</w:t>
      </w:r>
    </w:p>
    <w:p>
      <w:pPr>
        <w:spacing w:line="560" w:lineRule="exact"/>
        <w:ind w:right="24" w:rightChars="10"/>
        <w:jc w:val="center"/>
        <w:rPr>
          <w:rFonts w:hint="default" w:ascii="Times New Roman" w:hAnsi="Times New Roman" w:eastAsia="楷体_GB2312" w:cs="Times New Roman"/>
          <w:bCs/>
          <w:sz w:val="36"/>
          <w:szCs w:val="36"/>
          <w:lang w:eastAsia="zh-CN"/>
        </w:rPr>
      </w:pPr>
      <w:r>
        <w:rPr>
          <w:rFonts w:hint="default" w:ascii="Times New Roman" w:hAnsi="Times New Roman" w:eastAsia="楷体_GB2312" w:cs="Times New Roman"/>
          <w:bCs/>
          <w:sz w:val="36"/>
          <w:szCs w:val="36"/>
          <w:lang w:eastAsia="zh-CN"/>
        </w:rPr>
        <w:t>（征求意见稿）</w:t>
      </w:r>
    </w:p>
    <w:p>
      <w:pPr>
        <w:keepNext w:val="0"/>
        <w:keepLines w:val="0"/>
        <w:pageBreakBefore w:val="0"/>
        <w:widowControl w:val="0"/>
        <w:tabs>
          <w:tab w:val="left" w:pos="3945"/>
        </w:tabs>
        <w:kinsoku/>
        <w:wordWrap/>
        <w:overflowPunct/>
        <w:topLinePunct w:val="0"/>
        <w:autoSpaceDE/>
        <w:autoSpaceDN/>
        <w:bidi w:val="0"/>
        <w:adjustRightInd w:val="0"/>
        <w:snapToGrid/>
        <w:spacing w:line="50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一、集中采购目录</w:t>
      </w:r>
    </w:p>
    <w:p>
      <w:pPr>
        <w:tabs>
          <w:tab w:val="left" w:pos="3945"/>
        </w:tabs>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（一）集中采购机构采购项目。</w:t>
      </w:r>
    </w:p>
    <w:p>
      <w:pPr>
        <w:tabs>
          <w:tab w:val="left" w:pos="3945"/>
        </w:tabs>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以下项目必须按规定委托集中采购机构代理采购：</w:t>
      </w:r>
    </w:p>
    <w:tbl>
      <w:tblPr>
        <w:tblStyle w:val="3"/>
        <w:tblpPr w:leftFromText="180" w:rightFromText="180" w:vertAnchor="text" w:horzAnchor="page" w:tblpX="2003" w:tblpY="71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7"/>
        <w:gridCol w:w="1568"/>
        <w:gridCol w:w="2097"/>
        <w:gridCol w:w="3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序号</w:t>
            </w:r>
          </w:p>
        </w:tc>
        <w:tc>
          <w:tcPr>
            <w:tcW w:w="15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kern w:val="0"/>
                <w:sz w:val="28"/>
                <w:szCs w:val="28"/>
                <w:u w:val="none"/>
                <w:lang w:val="en-US" w:eastAsia="zh-CN" w:bidi="ar"/>
              </w:rPr>
            </w:pPr>
            <w:r>
              <w:rPr>
                <w:rFonts w:hint="default" w:ascii="Times New Roman" w:hAnsi="Times New Roman" w:eastAsia="仿宋_GB2312" w:cs="Times New Roman"/>
                <w:b/>
                <w:bCs/>
                <w:i w:val="0"/>
                <w:iCs w:val="0"/>
                <w:color w:val="auto"/>
                <w:kern w:val="0"/>
                <w:sz w:val="28"/>
                <w:szCs w:val="28"/>
                <w:u w:val="none"/>
                <w:lang w:val="en-US" w:eastAsia="zh-CN" w:bidi="ar"/>
              </w:rPr>
              <w:t>品目</w:t>
            </w:r>
          </w:p>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名称</w:t>
            </w:r>
          </w:p>
        </w:tc>
        <w:tc>
          <w:tcPr>
            <w:tcW w:w="20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品目编码</w:t>
            </w:r>
          </w:p>
        </w:tc>
        <w:tc>
          <w:tcPr>
            <w:tcW w:w="35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A</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货物类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default" w:ascii="Times New Roman" w:hAnsi="Times New Roman" w:eastAsia="仿宋_GB2312" w:cs="Times New Roman"/>
                <w:b/>
                <w:bCs/>
                <w:i w:val="0"/>
                <w:iCs w:val="0"/>
                <w:color w:val="auto"/>
                <w:sz w:val="28"/>
                <w:szCs w:val="28"/>
                <w:u w:val="none"/>
              </w:rPr>
            </w:pP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服务器</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A02010104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不包括系统集成项目（50万元以下）中的服务器采购。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台式计算机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A02010105</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根据《政府采购品目分类目录》，不包括巨型计算机、大型计算机、中型计算机、图形工作站等。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便携式计算机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A02010108</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根据《政府采购品目分类目录》，不包括移动工作站等。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A3 黑白打印机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A02021001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A3 彩色打印机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A02021002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6</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A4 黑白打印机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A02021003</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7</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A4 彩色打印机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A02021004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8</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票据打印机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A02021006</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9</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液晶显示器</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A02021104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10</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扫描仪</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A02021118</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11</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基础软件</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A08060301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12</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应用软件</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A08060303</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仅包括信息安全软件。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13</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复印机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A02020100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14</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投影仪</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A02020200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不包括测量、测绘等专用投影仪。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15</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多功能一体机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A02020400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具有多种办公功能的设备，例如带有打印功能的复印机等。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16</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LED显示屏</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A02021103</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17</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触控一体机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A02020800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包括室内型、户外型触摸屏/互动屏等。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18</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碎纸机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A02021301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19</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轿车</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A02030501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20</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越野车</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A02030502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21</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小型客车</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A02030503</w:t>
            </w:r>
          </w:p>
        </w:tc>
        <w:tc>
          <w:tcPr>
            <w:tcW w:w="35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车长小于6000mm且乘坐人数小于或等于9人的载客汽车。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22</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中型客车</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A02030504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车长小于6000mm且乘坐人数为10-19人的载客汽车。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23</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大型客车</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A02030505</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车长大于或等于6000mm或者乘坐人数大于或等于20人的载客汽车。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24</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电梯</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A02051227</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包括载人电梯、载货电梯、载人、载货两用电梯、消防电梯等。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25</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不间断电源</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A02061504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包括后备式不间断电源、在线式不间断电源等，也称UPS。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26</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空调机</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A02061804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仅包括分体壁挂式和分体柜式等民用空调。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27</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钢木床类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A05010101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28</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木质床类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A05010104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29</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办公桌</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A05010201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30</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会议桌</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A05010202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31</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茶几</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A05010204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包括大茶几、小茶几。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32</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其他台、桌类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A05010299</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仅包括电脑桌、主席台桌、条桌、折叠长条桌、演讲桌、接待桌。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33</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办公椅</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A05010301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34</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桌前椅</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A05010302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35</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会议椅</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A05010303</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36</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其他椅凳类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A05010399</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仅包括排椅、折叠椅、等候椅、长条凳。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37</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三人沙发</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A05010401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仅包括木骨架沙发类及金属骨架沙发类。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38</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单人沙发</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A05010402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仅包括木骨架沙发类及金属骨架沙发类。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39</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其他沙发类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A05010499</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仅包括木骨架沙发类及金属骨架沙发类除三人、单人以外长条沙发。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40</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书柜</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A05010501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41</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文件柜</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A05010502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42</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更衣柜</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A05010503</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43</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保密柜</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A05010504</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包括保险柜等。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44</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茶水柜</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A05010505</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45</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其他柜类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A05010599</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仅包括床头柜、电视柜、卡片柜。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46</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木质架类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A05010601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47</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金属质架类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A05010602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48</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组合家具</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A05010800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仅包括组合柜。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49</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复印纸</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A05040101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包括再生复印纸。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C</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i w:val="0"/>
                <w:iCs w:val="0"/>
                <w:color w:val="auto"/>
                <w:sz w:val="28"/>
                <w:szCs w:val="28"/>
                <w:u w:val="none"/>
              </w:rPr>
            </w:pPr>
            <w:r>
              <w:rPr>
                <w:rFonts w:hint="default" w:ascii="Times New Roman" w:hAnsi="Times New Roman" w:eastAsia="仿宋_GB2312" w:cs="Times New Roman"/>
                <w:b/>
                <w:bCs/>
                <w:i w:val="0"/>
                <w:iCs w:val="0"/>
                <w:color w:val="auto"/>
                <w:kern w:val="0"/>
                <w:sz w:val="28"/>
                <w:szCs w:val="28"/>
                <w:u w:val="none"/>
                <w:lang w:val="en-US" w:eastAsia="zh-CN" w:bidi="ar"/>
              </w:rPr>
              <w:t>服务类</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c>
          <w:tcPr>
            <w:tcW w:w="3549" w:type="dxa"/>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default" w:ascii="Times New Roman" w:hAnsi="Times New Roman" w:eastAsia="仿宋_GB2312"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50</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保安服务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C05040300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51</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网络接入服务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C17010200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仅包括适用于以LAN、SDH方式接入互联网（外网）的项目，不包括内网、专网接入服务。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52</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车辆维修和保养服务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C23120301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包括载货汽车、汽车挂车、乘用车（轿车、越野车、小型客车、中型客车、大型客车）等车辆的维修和保养服务。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53</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车辆加油、添加燃料服务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C23120302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仅包括载货汽车、汽车挂车、乘用车（轿车、越野车、小型客车、中型客车、大型客车）等车辆的加油服务。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54</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单证印刷服务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C23090101</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包括各类表单、证件、证书（出入境证件、防伪膜、电子证件元件层等）的印刷服务。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55</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票据印刷服务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C23090102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包括发票、收据等票据的印刷服务。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56</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其他印刷服务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C23090199</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w:t>
            </w:r>
            <w:r>
              <w:rPr>
                <w:rFonts w:hint="default" w:ascii="Times New Roman" w:hAnsi="Times New Roman" w:eastAsia="仿宋_GB2312" w:cs="Times New Roman"/>
                <w:i w:val="0"/>
                <w:iCs w:val="0"/>
                <w:color w:val="auto"/>
                <w:kern w:val="0"/>
                <w:sz w:val="28"/>
                <w:szCs w:val="28"/>
                <w:u w:val="none"/>
                <w:lang w:val="en-US" w:eastAsia="zh-CN" w:bidi="ar"/>
              </w:rPr>
              <w:br w:type="textWrapping"/>
            </w:r>
            <w:r>
              <w:rPr>
                <w:rFonts w:hint="default" w:ascii="Times New Roman" w:hAnsi="Times New Roman" w:eastAsia="仿宋_GB2312" w:cs="Times New Roman"/>
                <w:i w:val="0"/>
                <w:iCs w:val="0"/>
                <w:color w:val="auto"/>
                <w:kern w:val="0"/>
                <w:sz w:val="28"/>
                <w:szCs w:val="28"/>
                <w:u w:val="none"/>
                <w:lang w:val="en-US" w:eastAsia="zh-CN" w:bidi="ar"/>
              </w:rPr>
              <w:t>——文件印刷服务；</w:t>
            </w:r>
            <w:r>
              <w:rPr>
                <w:rFonts w:hint="default" w:ascii="Times New Roman" w:hAnsi="Times New Roman" w:eastAsia="仿宋_GB2312" w:cs="Times New Roman"/>
                <w:i w:val="0"/>
                <w:iCs w:val="0"/>
                <w:color w:val="auto"/>
                <w:kern w:val="0"/>
                <w:sz w:val="28"/>
                <w:szCs w:val="28"/>
                <w:u w:val="none"/>
                <w:lang w:val="en-US" w:eastAsia="zh-CN" w:bidi="ar"/>
              </w:rPr>
              <w:br w:type="textWrapping"/>
            </w:r>
            <w:r>
              <w:rPr>
                <w:rFonts w:hint="default" w:ascii="Times New Roman" w:hAnsi="Times New Roman" w:eastAsia="仿宋_GB2312" w:cs="Times New Roman"/>
                <w:i w:val="0"/>
                <w:iCs w:val="0"/>
                <w:color w:val="auto"/>
                <w:kern w:val="0"/>
                <w:sz w:val="28"/>
                <w:szCs w:val="28"/>
                <w:u w:val="none"/>
                <w:lang w:val="en-US" w:eastAsia="zh-CN" w:bidi="ar"/>
              </w:rPr>
              <w:t>——公文用纸印刷服务；</w:t>
            </w:r>
            <w:r>
              <w:rPr>
                <w:rFonts w:hint="default" w:ascii="Times New Roman" w:hAnsi="Times New Roman" w:eastAsia="仿宋_GB2312" w:cs="Times New Roman"/>
                <w:i w:val="0"/>
                <w:iCs w:val="0"/>
                <w:color w:val="auto"/>
                <w:kern w:val="0"/>
                <w:sz w:val="28"/>
                <w:szCs w:val="28"/>
                <w:u w:val="none"/>
                <w:lang w:val="en-US" w:eastAsia="zh-CN" w:bidi="ar"/>
              </w:rPr>
              <w:br w:type="textWrapping"/>
            </w:r>
            <w:r>
              <w:rPr>
                <w:rFonts w:hint="default" w:ascii="Times New Roman" w:hAnsi="Times New Roman" w:eastAsia="仿宋_GB2312" w:cs="Times New Roman"/>
                <w:i w:val="0"/>
                <w:iCs w:val="0"/>
                <w:color w:val="auto"/>
                <w:kern w:val="0"/>
                <w:sz w:val="28"/>
                <w:szCs w:val="28"/>
                <w:u w:val="none"/>
                <w:lang w:val="en-US" w:eastAsia="zh-CN" w:bidi="ar"/>
              </w:rPr>
              <w:t>——资料汇编印刷服务；</w:t>
            </w:r>
            <w:r>
              <w:rPr>
                <w:rFonts w:hint="default" w:ascii="Times New Roman" w:hAnsi="Times New Roman" w:eastAsia="仿宋_GB2312" w:cs="Times New Roman"/>
                <w:i w:val="0"/>
                <w:iCs w:val="0"/>
                <w:color w:val="auto"/>
                <w:kern w:val="0"/>
                <w:sz w:val="28"/>
                <w:szCs w:val="28"/>
                <w:u w:val="none"/>
                <w:lang w:val="en-US" w:eastAsia="zh-CN" w:bidi="ar"/>
              </w:rPr>
              <w:br w:type="textWrapping"/>
            </w:r>
            <w:r>
              <w:rPr>
                <w:rFonts w:hint="default" w:ascii="Times New Roman" w:hAnsi="Times New Roman" w:eastAsia="仿宋_GB2312" w:cs="Times New Roman"/>
                <w:i w:val="0"/>
                <w:iCs w:val="0"/>
                <w:color w:val="auto"/>
                <w:kern w:val="0"/>
                <w:sz w:val="28"/>
                <w:szCs w:val="28"/>
                <w:u w:val="none"/>
                <w:lang w:val="en-US" w:eastAsia="zh-CN" w:bidi="ar"/>
              </w:rPr>
              <w:t>——信封印刷服务。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57</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物业管理服务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C21040000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指办公场所或其他公用场所水电供应服务、设备运行、门窗保养维护、保洁、绿化养护等的管理及服务。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58</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财产保险服务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C18040102</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仅包括机动车保险服务。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color w:val="auto"/>
                <w:sz w:val="28"/>
                <w:szCs w:val="28"/>
                <w:u w:val="none"/>
                <w:lang w:val="en-US"/>
              </w:rPr>
            </w:pPr>
            <w:r>
              <w:rPr>
                <w:rFonts w:hint="default" w:ascii="Times New Roman" w:hAnsi="Times New Roman" w:eastAsia="仿宋_GB2312" w:cs="Times New Roman"/>
                <w:i w:val="0"/>
                <w:iCs w:val="0"/>
                <w:color w:val="auto"/>
                <w:kern w:val="0"/>
                <w:sz w:val="28"/>
                <w:szCs w:val="28"/>
                <w:u w:val="none"/>
                <w:lang w:val="en-US" w:eastAsia="zh-CN" w:bidi="ar"/>
              </w:rPr>
              <w:t>59</w:t>
            </w:r>
          </w:p>
        </w:tc>
        <w:tc>
          <w:tcPr>
            <w:tcW w:w="1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云计算服务</w:t>
            </w:r>
          </w:p>
        </w:tc>
        <w:tc>
          <w:tcPr>
            <w:tcW w:w="20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C16040000</w:t>
            </w:r>
          </w:p>
        </w:tc>
        <w:tc>
          <w:tcPr>
            <w:tcW w:w="35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仅包括云计算服务中的基础服务，包括计算服务、小型机计算服务、存储服务、网络服务、云主机深度监控服务。</w:t>
            </w:r>
          </w:p>
        </w:tc>
      </w:tr>
    </w:tbl>
    <w:p>
      <w:pPr>
        <w:tabs>
          <w:tab w:val="left" w:pos="3945"/>
        </w:tabs>
        <w:snapToGrid w:val="0"/>
        <w:spacing w:line="560" w:lineRule="exact"/>
        <w:ind w:firstLine="640" w:firstLineChars="200"/>
        <w:rPr>
          <w:rFonts w:hint="default" w:ascii="Times New Roman" w:hAnsi="Times New Roman" w:eastAsia="仿宋_GB2312" w:cs="Times New Roman"/>
          <w:sz w:val="32"/>
          <w:szCs w:val="32"/>
        </w:rPr>
      </w:pPr>
    </w:p>
    <w:p>
      <w:pPr>
        <w:tabs>
          <w:tab w:val="left" w:pos="3945"/>
        </w:tabs>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（二）集中采购目录有关说明。</w:t>
      </w:r>
    </w:p>
    <w:p>
      <w:pPr>
        <w:tabs>
          <w:tab w:val="left" w:pos="3945"/>
        </w:tabs>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1．表中所列采购项目，预算金额50万元以下的，</w:t>
      </w:r>
      <w:r>
        <w:rPr>
          <w:rFonts w:hint="default" w:ascii="Times New Roman" w:hAnsi="Times New Roman" w:eastAsia="仿宋_GB2312" w:cs="Times New Roman"/>
          <w:color w:val="000000"/>
          <w:kern w:val="0"/>
          <w:sz w:val="32"/>
          <w:szCs w:val="22"/>
        </w:rPr>
        <w:t>可以按照框架协议采购方式实施采购</w:t>
      </w:r>
      <w:r>
        <w:rPr>
          <w:rFonts w:hint="default" w:ascii="Times New Roman" w:hAnsi="Times New Roman" w:eastAsia="仿宋_GB2312" w:cs="Times New Roman"/>
          <w:sz w:val="32"/>
          <w:szCs w:val="32"/>
        </w:rPr>
        <w:t>。</w:t>
      </w:r>
    </w:p>
    <w:p>
      <w:pPr>
        <w:tabs>
          <w:tab w:val="left" w:pos="3945"/>
        </w:tabs>
        <w:spacing w:line="560" w:lineRule="exact"/>
        <w:ind w:firstLine="640" w:firstLineChars="200"/>
        <w:jc w:val="both"/>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．表中第2</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项家具品目仅指办公家具（木质、金属、钢木类材质）</w:t>
      </w:r>
      <w:r>
        <w:rPr>
          <w:rFonts w:hint="eastAsia" w:eastAsia="仿宋_GB2312" w:cs="Times New Roman"/>
          <w:sz w:val="32"/>
          <w:szCs w:val="32"/>
          <w:lang w:eastAsia="zh-CN"/>
        </w:rPr>
        <w:t>。</w:t>
      </w:r>
    </w:p>
    <w:p>
      <w:pPr>
        <w:tabs>
          <w:tab w:val="left" w:pos="3945"/>
        </w:tabs>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高等院校和科研院所使用科研项目资金采购科研仪器设备，不适用集中采购目录。具体按照《天津市财政局关于加强市属高等院校和科研院所科研仪器设备采购管理有关事项的通知》（津财采〔2017〕5号）的有关规定执行。</w:t>
      </w:r>
    </w:p>
    <w:p>
      <w:pPr>
        <w:tabs>
          <w:tab w:val="left" w:pos="3945"/>
        </w:tabs>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．驻津外的单位不适用集中采购目录。</w:t>
      </w:r>
    </w:p>
    <w:p>
      <w:pPr>
        <w:tabs>
          <w:tab w:val="left" w:pos="3945"/>
        </w:tabs>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．表中所列项目属于本单位有特殊要求的项目，经市人民政府批准，可以自行采购。</w:t>
      </w:r>
    </w:p>
    <w:p>
      <w:pPr>
        <w:tabs>
          <w:tab w:val="left" w:pos="3945"/>
        </w:tabs>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二、采购限额标准</w:t>
      </w:r>
    </w:p>
    <w:p>
      <w:pPr>
        <w:tabs>
          <w:tab w:val="left" w:pos="3945"/>
        </w:tabs>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集中采购目录以外且预算金额达到采购限额标准以上的项目，应按照《中华人民共和国政府采购法》及其实施条例的有关规定组织实施。</w:t>
      </w:r>
    </w:p>
    <w:p>
      <w:pPr>
        <w:tabs>
          <w:tab w:val="left" w:pos="3945"/>
        </w:tabs>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市区两级采购限额标准：货物类、服务类项目为50万元；工程类项目为60万元。</w:t>
      </w:r>
    </w:p>
    <w:p>
      <w:pPr>
        <w:tabs>
          <w:tab w:val="left" w:pos="3945"/>
        </w:tabs>
        <w:snapToGrid w:val="0"/>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三、公开招标数额标准</w:t>
      </w:r>
    </w:p>
    <w:p>
      <w:pPr>
        <w:snapToGrid w:val="0"/>
        <w:spacing w:line="56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预算金额达到公开招标数额标准的项目，应当采用公开招标方式组织实施。因特殊情况需要采用公开招标以外的采购方式的，应当在采购活动开始前获得同级财政部门的批准。</w:t>
      </w:r>
    </w:p>
    <w:p>
      <w:pPr>
        <w:snapToGrid w:val="0"/>
        <w:spacing w:line="56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市区两级公开招标数额标准：货物类、服务类项目为400万元，政府采购工程以及与工程建设有关的货物、服务项目按照国务院有关规定执行。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000000"/>
          <w:kern w:val="0"/>
          <w:sz w:val="32"/>
          <w:szCs w:val="22"/>
        </w:rPr>
      </w:pPr>
      <w:r>
        <w:rPr>
          <w:rFonts w:hint="default" w:ascii="Times New Roman" w:hAnsi="Times New Roman" w:eastAsia="黑体" w:cs="Times New Roman"/>
          <w:color w:val="000000"/>
          <w:kern w:val="0"/>
          <w:sz w:val="32"/>
          <w:szCs w:val="22"/>
          <w:lang w:val="en-US" w:eastAsia="zh-CN"/>
        </w:rPr>
        <w:t>四</w:t>
      </w:r>
      <w:r>
        <w:rPr>
          <w:rFonts w:hint="default" w:ascii="Times New Roman" w:hAnsi="Times New Roman" w:eastAsia="黑体" w:cs="Times New Roman"/>
          <w:color w:val="000000"/>
          <w:kern w:val="0"/>
          <w:sz w:val="32"/>
          <w:szCs w:val="22"/>
        </w:rPr>
        <w:t>、政府采购政策规定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22"/>
        </w:rPr>
      </w:pPr>
      <w:r>
        <w:rPr>
          <w:rFonts w:hint="default" w:ascii="Times New Roman" w:hAnsi="Times New Roman" w:eastAsia="仿宋_GB2312" w:cs="Times New Roman"/>
          <w:color w:val="000000"/>
          <w:kern w:val="0"/>
          <w:sz w:val="32"/>
          <w:szCs w:val="22"/>
        </w:rPr>
        <w:t>政府采购应严格执行</w:t>
      </w:r>
      <w:r>
        <w:rPr>
          <w:rFonts w:hint="default" w:ascii="Times New Roman" w:hAnsi="Times New Roman" w:eastAsia="仿宋_GB2312" w:cs="Times New Roman"/>
          <w:color w:val="000000"/>
          <w:kern w:val="0"/>
          <w:sz w:val="32"/>
          <w:szCs w:val="32"/>
        </w:rPr>
        <w:t>《中华人民共和国政府采购法》</w:t>
      </w:r>
      <w:r>
        <w:rPr>
          <w:rFonts w:hint="default" w:ascii="Times New Roman" w:hAnsi="Times New Roman" w:eastAsia="仿宋_GB2312" w:cs="Times New Roman"/>
          <w:color w:val="000000"/>
          <w:kern w:val="0"/>
          <w:sz w:val="32"/>
          <w:szCs w:val="32"/>
          <w:lang w:bidi="ar"/>
        </w:rPr>
        <w:t>及有关法规、规章制度等规定</w:t>
      </w:r>
      <w:r>
        <w:rPr>
          <w:rFonts w:hint="default" w:ascii="Times New Roman" w:hAnsi="Times New Roman" w:eastAsia="仿宋_GB2312" w:cs="Times New Roman"/>
          <w:color w:val="000000"/>
          <w:kern w:val="0"/>
          <w:sz w:val="32"/>
          <w:szCs w:val="22"/>
        </w:rPr>
        <w:t>，在政府采购活动中支持中小企业、监狱企业、残疾人福利性单位发展，支持乡村产业振兴，支持节能环保等。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22"/>
        </w:rPr>
      </w:pPr>
      <w:r>
        <w:rPr>
          <w:rFonts w:hint="default" w:ascii="Times New Roman" w:hAnsi="Times New Roman" w:eastAsia="仿宋_GB2312" w:cs="Times New Roman"/>
          <w:color w:val="000000"/>
          <w:kern w:val="0"/>
          <w:sz w:val="32"/>
          <w:szCs w:val="22"/>
        </w:rPr>
        <w:t>政府采购支持科技创新。发挥政府采购导向作用，首次投放市场的科技创新产品、服务，政府采购率先购买，不得以商业业绩为由予以限制。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color w:val="000000"/>
          <w:kern w:val="0"/>
          <w:sz w:val="32"/>
          <w:szCs w:val="22"/>
        </w:rPr>
        <w:t>政府采购支持绿色低碳可持续发展。在车辆集中采购中，优先采购新能源汽车。在</w:t>
      </w:r>
      <w:r>
        <w:rPr>
          <w:rFonts w:hint="default" w:ascii="Times New Roman" w:hAnsi="Times New Roman" w:eastAsia="仿宋_GB2312" w:cs="Times New Roman"/>
          <w:color w:val="000000"/>
          <w:sz w:val="32"/>
          <w:szCs w:val="32"/>
          <w:lang w:val="en-US" w:eastAsia="zh-CN"/>
        </w:rPr>
        <w:t>滨海新区、静海区</w:t>
      </w:r>
      <w:r>
        <w:rPr>
          <w:rFonts w:hint="default" w:ascii="Times New Roman" w:hAnsi="Times New Roman" w:eastAsia="仿宋_GB2312" w:cs="Times New Roman"/>
          <w:color w:val="000000"/>
          <w:kern w:val="0"/>
          <w:sz w:val="32"/>
          <w:szCs w:val="22"/>
        </w:rPr>
        <w:t>试点执行《绿色建筑和绿色建材政府采购需求标准》，并逐步扩大试点范围。</w:t>
      </w:r>
    </w:p>
    <w:p>
      <w:pPr>
        <w:snapToGrid w:val="0"/>
        <w:spacing w:line="560" w:lineRule="exact"/>
        <w:ind w:firstLine="640" w:firstLineChars="200"/>
        <w:jc w:val="both"/>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五</w:t>
      </w:r>
      <w:r>
        <w:rPr>
          <w:rFonts w:hint="default" w:ascii="Times New Roman" w:hAnsi="Times New Roman" w:eastAsia="黑体" w:cs="Times New Roman"/>
          <w:bCs/>
          <w:sz w:val="32"/>
          <w:szCs w:val="32"/>
        </w:rPr>
        <w:t>、其他要求和说明</w:t>
      </w:r>
    </w:p>
    <w:p>
      <w:pPr>
        <w:tabs>
          <w:tab w:val="left" w:pos="3945"/>
        </w:tabs>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（一）各主管预算单位结合自身业务特点，对本部门、本系统有特殊要求的项目，可以实行部门集中采购。由各主管预算单位自行确定部门集中采购项目，报市财政部门备案后实施。</w:t>
      </w:r>
    </w:p>
    <w:p>
      <w:pPr>
        <w:tabs>
          <w:tab w:val="left" w:pos="3945"/>
        </w:tabs>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kern w:val="0"/>
          <w:sz w:val="32"/>
          <w:szCs w:val="22"/>
        </w:rPr>
        <w:t>预算单位可以不受行政级次、地区限制，委托集采机构组织采购活动。</w:t>
      </w:r>
      <w:r>
        <w:rPr>
          <w:rFonts w:hint="default" w:ascii="Times New Roman" w:hAnsi="Times New Roman" w:eastAsia="仿宋_GB2312" w:cs="Times New Roman"/>
          <w:sz w:val="32"/>
          <w:szCs w:val="32"/>
        </w:rPr>
        <w:t>未设立集中采购机构的地区，其区属预算单位采购集中采购目录内的项目，可以委托市政府采购中心或其他区政府采购中心组织实施。</w:t>
      </w:r>
    </w:p>
    <w:p>
      <w:pPr>
        <w:tabs>
          <w:tab w:val="left" w:pos="3945"/>
        </w:tabs>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（三）各部门、各区应在政府采购活动中，严格执行政府采购政策，扶持贫困地区、中小企业、监狱企业和残疾人福利性企业，支持节能减排、环境保护以及创新产品和服务。</w:t>
      </w:r>
    </w:p>
    <w:p>
      <w:pPr>
        <w:tabs>
          <w:tab w:val="left" w:pos="3945"/>
        </w:tabs>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（四）涉密采购项目应按照涉密政府采购有关规定执行。</w:t>
      </w:r>
    </w:p>
    <w:p>
      <w:pPr>
        <w:snapToGrid w:val="0"/>
        <w:spacing w:line="560" w:lineRule="exact"/>
        <w:ind w:firstLine="640" w:firstLineChars="200"/>
        <w:jc w:val="both"/>
        <w:rPr>
          <w:rFonts w:hint="default" w:ascii="Times New Roman" w:hAnsi="Times New Roman" w:eastAsia="仿宋_GB2312" w:cs="Times New Roman"/>
          <w:bCs/>
          <w:sz w:val="32"/>
          <w:szCs w:val="32"/>
          <w:lang w:val="zh-CN"/>
        </w:rPr>
      </w:pPr>
      <w:r>
        <w:rPr>
          <w:rFonts w:hint="default" w:ascii="Times New Roman" w:hAnsi="Times New Roman" w:eastAsia="仿宋_GB2312" w:cs="Times New Roman"/>
          <w:bCs/>
          <w:sz w:val="32"/>
          <w:szCs w:val="32"/>
          <w:lang w:val="zh-CN"/>
        </w:rPr>
        <w:t>（五）本规定中品目名称均按照《财政部关于印发&lt;政府采购品目分类目录&gt;的通知》（</w:t>
      </w:r>
      <w:r>
        <w:rPr>
          <w:rFonts w:hint="default" w:ascii="Times New Roman" w:hAnsi="Times New Roman" w:eastAsia="仿宋_GB2312" w:cs="Times New Roman"/>
          <w:color w:val="000000"/>
          <w:sz w:val="32"/>
          <w:szCs w:val="32"/>
        </w:rPr>
        <w:t>财库〔2022〕31号</w:t>
      </w:r>
      <w:r>
        <w:rPr>
          <w:rFonts w:hint="default" w:ascii="Times New Roman" w:hAnsi="Times New Roman" w:eastAsia="仿宋_GB2312" w:cs="Times New Roman"/>
          <w:bCs/>
          <w:sz w:val="32"/>
          <w:szCs w:val="32"/>
          <w:lang w:val="zh-CN"/>
        </w:rPr>
        <w:t>）的对应内容确定。</w:t>
      </w:r>
    </w:p>
    <w:p>
      <w:pPr>
        <w:snapToGrid w:val="0"/>
        <w:spacing w:line="560" w:lineRule="exact"/>
        <w:ind w:firstLine="640" w:firstLineChars="200"/>
        <w:jc w:val="both"/>
        <w:rPr>
          <w:rFonts w:hint="default" w:ascii="Times New Roman" w:hAnsi="Times New Roman" w:eastAsia="仿宋_GB2312" w:cs="Times New Roman"/>
          <w:bCs/>
          <w:sz w:val="32"/>
          <w:szCs w:val="32"/>
          <w:lang w:val="zh-CN"/>
        </w:rPr>
      </w:pPr>
      <w:r>
        <w:rPr>
          <w:rFonts w:hint="default" w:ascii="Times New Roman" w:hAnsi="Times New Roman" w:eastAsia="仿宋_GB2312" w:cs="Times New Roman"/>
          <w:bCs/>
          <w:sz w:val="32"/>
          <w:szCs w:val="32"/>
          <w:lang w:val="zh-CN"/>
        </w:rPr>
        <w:t>（六）本规定中所称“以上”均包括本数，“以下”均不包括本数。</w:t>
      </w:r>
    </w:p>
    <w:p>
      <w:pPr>
        <w:spacing w:line="560" w:lineRule="exact"/>
        <w:jc w:val="both"/>
        <w:rPr>
          <w:rFonts w:hint="default" w:ascii="Times New Roman" w:hAnsi="Times New Roman" w:eastAsia="仿宋_GB2312" w:cs="Times New Roman"/>
          <w:sz w:val="32"/>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OWJlZGQzYzE3YTJmZDRlNDNmZDg3YTE5NTI2NWUifQ=="/>
  </w:docVars>
  <w:rsids>
    <w:rsidRoot w:val="67AD07C7"/>
    <w:rsid w:val="00247343"/>
    <w:rsid w:val="107264FD"/>
    <w:rsid w:val="15FE4314"/>
    <w:rsid w:val="221661E4"/>
    <w:rsid w:val="3FFD4A67"/>
    <w:rsid w:val="67AD07C7"/>
    <w:rsid w:val="74FF8D04"/>
    <w:rsid w:val="7BBE4129"/>
    <w:rsid w:val="7EFF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2126</Words>
  <Characters>2710</Characters>
  <Lines>0</Lines>
  <Paragraphs>0</Paragraphs>
  <TotalTime>17</TotalTime>
  <ScaleCrop>false</ScaleCrop>
  <LinksUpToDate>false</LinksUpToDate>
  <CharactersWithSpaces>2714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2023-09-14T00:23:00Z</dcterms:created>
  <dc:creator>梦见帝国</dc:creator>
  <cp:lastModifiedBy>kylin</cp:lastModifiedBy>
  <cp:lastPrinted>2023-11-02T15:55:00Z</cp:lastPrinted>
  <dcterms:modified xsi:type="dcterms:W3CDTF">2023-11-03T14:20:04Z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9C5DADC243AA4E5C8DFA8629CF75488A_13</vt:lpwstr>
  </property>
</Properties>
</file>