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</w:rPr>
        <w:t>“新时代国企减债融资（DRF）协同民企共同高质量发展课题”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9"/>
        <w:jc w:val="center"/>
        <w:textAlignment w:val="baseline"/>
        <w:outlineLvl w:val="9"/>
        <w:rPr>
          <w:rFonts w:hint="default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  <w:lang w:val="en-US" w:eastAsia="zh-CN"/>
        </w:rPr>
        <w:t>资产管理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  <w:lang w:val="en-US" w:eastAsia="zh-CN"/>
        </w:rPr>
        <w:t>AM</w:t>
      </w:r>
      <w:r>
        <w:rPr>
          <w:rFonts w:hint="eastAsia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-3"/>
          <w:kern w:val="0"/>
          <w:sz w:val="28"/>
          <w:szCs w:val="28"/>
          <w:highlight w:val="none"/>
        </w:rPr>
        <w:t>项目申请表</w:t>
      </w:r>
      <w:bookmarkEnd w:id="0"/>
    </w:p>
    <w:p>
      <w:pPr>
        <w:spacing w:before="21"/>
        <w:jc w:val="center"/>
        <w:outlineLvl w:val="9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pacing w:val="-2"/>
          <w:sz w:val="24"/>
          <w:highlight w:val="none"/>
        </w:rPr>
        <w:t>（GJDRF-</w:t>
      </w:r>
      <w:r>
        <w:rPr>
          <w:rFonts w:hint="eastAsia" w:ascii="Times New Roman" w:hAnsi="Times New Roman" w:eastAsia="仿宋" w:cs="Times New Roman"/>
          <w:spacing w:val="-2"/>
          <w:sz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spacing w:val="-2"/>
          <w:sz w:val="24"/>
          <w:highlight w:val="none"/>
        </w:rPr>
        <w:t>M-</w:t>
      </w:r>
      <w:r>
        <w:rPr>
          <w:rFonts w:hint="eastAsia" w:ascii="Times New Roman" w:hAnsi="Times New Roman" w:eastAsia="仿宋" w:cs="Times New Roman"/>
          <w:spacing w:val="-2"/>
          <w:sz w:val="24"/>
          <w:highlight w:val="none"/>
          <w:lang w:eastAsia="zh-CN"/>
        </w:rPr>
        <w:t>20231106</w:t>
      </w:r>
      <w:r>
        <w:rPr>
          <w:rFonts w:hint="default" w:ascii="Times New Roman" w:hAnsi="Times New Roman" w:eastAsia="仿宋" w:cs="Times New Roman"/>
          <w:spacing w:val="-2"/>
          <w:sz w:val="24"/>
          <w:highlight w:val="none"/>
        </w:rPr>
        <w:t>）</w:t>
      </w:r>
    </w:p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sz w:val="2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24"/>
          <w:highlight w:val="none"/>
        </w:rPr>
        <w:t xml:space="preserve"> 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10"/>
        <w:gridCol w:w="3046"/>
        <w:gridCol w:w="1209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企业全称</w:t>
            </w:r>
          </w:p>
        </w:tc>
        <w:tc>
          <w:tcPr>
            <w:tcW w:w="31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登记证号码</w:t>
            </w:r>
          </w:p>
        </w:tc>
        <w:tc>
          <w:tcPr>
            <w:tcW w:w="3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企业成立时间</w:t>
            </w:r>
          </w:p>
        </w:tc>
        <w:tc>
          <w:tcPr>
            <w:tcW w:w="31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注册资本</w:t>
            </w:r>
          </w:p>
        </w:tc>
        <w:tc>
          <w:tcPr>
            <w:tcW w:w="3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第_____种（1、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"/>
                <w:kern w:val="0"/>
                <w:sz w:val="24"/>
                <w:highlight w:val="none"/>
              </w:rPr>
              <w:t>实缴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5"/>
                <w:kern w:val="0"/>
                <w:sz w:val="24"/>
                <w:highlight w:val="none"/>
              </w:rPr>
              <w:t>；2、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"/>
                <w:kern w:val="0"/>
                <w:sz w:val="24"/>
                <w:highlight w:val="none"/>
              </w:rPr>
              <w:t>认缴）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7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46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所属行业</w:t>
            </w:r>
          </w:p>
        </w:tc>
        <w:tc>
          <w:tcPr>
            <w:tcW w:w="78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第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  <w:shd w:val="clear" w:color="auto" w:fill="FFFFFF"/>
                <w:lang w:val="en-US" w:eastAsia="zh-CN"/>
              </w:rPr>
              <w:t>种</w:t>
            </w:r>
          </w:p>
          <w:p>
            <w:pPr>
              <w:widowControl/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（1、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新基建；2、大健康；3、新能源；4、新材料；5、汽车；6、机械设备（军工）；7、通信；8、房地产；9、其他）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4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1"/>
                <w:kern w:val="0"/>
                <w:sz w:val="24"/>
                <w:highlight w:val="none"/>
              </w:rPr>
              <w:t>企业类型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1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第________种（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6"/>
                <w:kern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6"/>
                <w:kern w:val="0"/>
                <w:sz w:val="24"/>
                <w:highlight w:val="none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1"/>
                <w:kern w:val="0"/>
                <w:sz w:val="24"/>
                <w:highlight w:val="none"/>
              </w:rPr>
              <w:t>国企；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1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1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1"/>
                <w:kern w:val="0"/>
                <w:sz w:val="24"/>
                <w:highlight w:val="none"/>
                <w:lang w:val="en-US" w:eastAsia="zh-CN"/>
              </w:rPr>
              <w:t>民企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1"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年度营业收入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亿元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资产负债率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资产是否有营业收入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240" w:lineRule="auto"/>
              <w:ind w:left="-21" w:leftChars="-10" w:right="-21" w:rightChars="-1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第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种（1.是；2.否）</w:t>
            </w:r>
          </w:p>
          <w:p>
            <w:pPr>
              <w:spacing w:line="240" w:lineRule="auto"/>
              <w:ind w:left="-210" w:leftChars="-100" w:right="-210" w:rightChars="-100"/>
              <w:jc w:val="center"/>
              <w:outlineLvl w:val="9"/>
              <w:rPr>
                <w:rFonts w:hint="default"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若选择“是”，请说明：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szCs w:val="21"/>
                <w:highlight w:val="none"/>
                <w:lang w:val="en-US" w:eastAsia="zh-CN"/>
              </w:rPr>
              <w:t>近一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lang w:val="en-US" w:eastAsia="zh-CN"/>
              </w:rPr>
              <w:t>资产营业收入具体金额为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auto"/>
                <w:spacing w:val="-2"/>
                <w:sz w:val="24"/>
                <w:highlight w:val="none"/>
                <w:u w:val="none"/>
                <w:lang w:val="en-US" w:eastAsia="zh-CN"/>
              </w:rPr>
              <w:t>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资产估值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1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资金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需求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规模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2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持股比例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资金分配比例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578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3"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合作期限</w:t>
            </w:r>
          </w:p>
        </w:tc>
        <w:tc>
          <w:tcPr>
            <w:tcW w:w="7702" w:type="dxa"/>
            <w:gridSpan w:val="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年</w:t>
            </w:r>
          </w:p>
        </w:tc>
      </w:tr>
    </w:tbl>
    <w:p>
      <w:pPr>
        <w:autoSpaceDE w:val="0"/>
        <w:spacing w:line="360" w:lineRule="auto"/>
        <w:jc w:val="left"/>
        <w:outlineLvl w:val="9"/>
        <w:rPr>
          <w:rFonts w:hint="default" w:ascii="Times New Roman" w:hAnsi="Times New Roman" w:eastAsia="仿宋" w:cs="Times New Roman"/>
          <w:b/>
          <w:bCs/>
          <w:sz w:val="24"/>
          <w:highlight w:val="none"/>
        </w:rPr>
      </w:pPr>
    </w:p>
    <w:p>
      <w:pPr>
        <w:spacing w:before="157" w:line="360" w:lineRule="auto"/>
        <w:ind w:right="43"/>
        <w:jc w:val="right"/>
        <w:outlineLvl w:val="9"/>
        <w:rPr>
          <w:rFonts w:hint="default" w:ascii="Times New Roman" w:hAnsi="Times New Roman" w:eastAsia="仿宋" w:cs="Times New Roman"/>
          <w:sz w:val="24"/>
          <w:highlight w:val="none"/>
        </w:rPr>
      </w:pPr>
      <w:r>
        <w:rPr>
          <w:rFonts w:hint="eastAsia" w:ascii="Times New Roman" w:hAnsi="Times New Roman" w:eastAsia="仿宋" w:cs="Times New Roman"/>
          <w:spacing w:val="-5"/>
          <w:sz w:val="24"/>
          <w:highlight w:val="none"/>
          <w:lang w:eastAsia="zh-CN"/>
        </w:rPr>
        <w:t>申请企业</w:t>
      </w:r>
      <w:r>
        <w:rPr>
          <w:rFonts w:hint="default" w:ascii="Times New Roman" w:hAnsi="Times New Roman" w:eastAsia="仿宋" w:cs="Times New Roman"/>
          <w:spacing w:val="-5"/>
          <w:sz w:val="24"/>
          <w:highlight w:val="none"/>
        </w:rPr>
        <w:t>：XXXXXXX公司</w:t>
      </w:r>
      <w:r>
        <w:rPr>
          <w:rFonts w:hint="default" w:ascii="Times New Roman" w:hAnsi="Times New Roman" w:eastAsia="仿宋" w:cs="Times New Roman"/>
          <w:sz w:val="24"/>
          <w:highlight w:val="none"/>
        </w:rPr>
        <w:t xml:space="preserve"> </w:t>
      </w:r>
    </w:p>
    <w:p>
      <w:pPr>
        <w:widowControl/>
        <w:spacing w:line="360" w:lineRule="auto"/>
        <w:jc w:val="right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10"/>
          <w:sz w:val="24"/>
          <w:highlight w:val="none"/>
        </w:rPr>
        <w:t>XXXX</w:t>
      </w:r>
      <w:r>
        <w:rPr>
          <w:rFonts w:hint="default" w:ascii="Times New Roman" w:hAnsi="Times New Roman" w:eastAsia="仿宋" w:cs="Times New Roman"/>
          <w:spacing w:val="30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spacing w:val="-10"/>
          <w:sz w:val="24"/>
          <w:highlight w:val="none"/>
        </w:rPr>
        <w:t>年 XX</w:t>
      </w:r>
      <w:r>
        <w:rPr>
          <w:rFonts w:hint="default" w:ascii="Times New Roman" w:hAnsi="Times New Roman" w:eastAsia="仿宋" w:cs="Times New Roman"/>
          <w:spacing w:val="14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spacing w:val="-10"/>
          <w:sz w:val="24"/>
          <w:highlight w:val="none"/>
        </w:rPr>
        <w:t>月 XX</w:t>
      </w:r>
      <w:r>
        <w:rPr>
          <w:rFonts w:hint="default" w:ascii="Times New Roman" w:hAnsi="Times New Roman" w:eastAsia="仿宋" w:cs="Times New Roman"/>
          <w:spacing w:val="2"/>
          <w:sz w:val="24"/>
          <w:highlight w:val="none"/>
        </w:rPr>
        <w:t xml:space="preserve"> </w:t>
      </w:r>
      <w:r>
        <w:rPr>
          <w:rFonts w:hint="default" w:ascii="Times New Roman" w:hAnsi="Times New Roman" w:eastAsia="仿宋" w:cs="Times New Roman"/>
          <w:spacing w:val="-10"/>
          <w:sz w:val="24"/>
          <w:highlight w:val="none"/>
        </w:rPr>
        <w:t>日</w:t>
      </w:r>
    </w:p>
    <w:p>
      <w:pPr>
        <w:outlineLvl w:val="9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line="360" w:lineRule="auto"/>
        <w:ind w:firstLine="482" w:firstLineChars="200"/>
        <w:jc w:val="left"/>
        <w:outlineLvl w:val="9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二、“新时代国企减债融资（DRF）协同民企共同高质量发展课题”资产管理（AM）项目申请表的填写说明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color w:val="000000"/>
          <w:spacing w:val="1"/>
          <w:kern w:val="0"/>
          <w:sz w:val="24"/>
          <w:highlight w:val="none"/>
        </w:rPr>
        <w:t>企业全称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”与工商注册登记的企业信息一致。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“登记证号码”按工商注册登记的企业登记证号码填写。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“企业成立时间”与工商注册登记的注册时间一致。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left="420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“注册资本”按工商注册登记的企业注册资本金额填写，并按实际缴纳情况  在“实缴”或者“认缴”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“注册地址”根据实际经营情况如实填写。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“所属行业”按企业实际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highlight w:val="none"/>
          <w:lang w:val="en-US" w:eastAsia="zh-CN"/>
        </w:rPr>
        <w:t>所属行业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类型”按企业实际属性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eastAsia="zh-CN"/>
        </w:rPr>
        <w:t>选择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“年度营业收入”以上年度公司审计报告的数据为准。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</w:rPr>
        <w:t>“资产负债率”按当期审计报告数据为准：总负债/总资产额。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“资产是否有营业收入”根据实际情况如实填写，若选择是，请</w:t>
      </w:r>
      <w:r>
        <w:rPr>
          <w:rFonts w:hint="default" w:ascii="Times New Roman" w:hAnsi="Times New Roman" w:eastAsia="仿宋" w:cs="Times New Roman"/>
          <w:bCs/>
          <w:color w:val="auto"/>
          <w:spacing w:val="-2"/>
          <w:sz w:val="24"/>
          <w:highlight w:val="none"/>
        </w:rPr>
        <w:t>若选择“是”，请说明</w:t>
      </w:r>
      <w:r>
        <w:rPr>
          <w:rFonts w:hint="default" w:ascii="Times New Roman" w:hAnsi="Times New Roman" w:eastAsia="仿宋" w:cs="Times New Roman"/>
          <w:bCs/>
          <w:color w:val="auto"/>
          <w:spacing w:val="-2"/>
          <w:sz w:val="24"/>
          <w:szCs w:val="21"/>
          <w:highlight w:val="none"/>
          <w:lang w:val="en-US" w:eastAsia="zh-CN"/>
        </w:rPr>
        <w:t>近一</w:t>
      </w:r>
      <w:r>
        <w:rPr>
          <w:rFonts w:hint="default" w:ascii="Times New Roman" w:hAnsi="Times New Roman" w:eastAsia="仿宋" w:cs="Times New Roman"/>
          <w:bCs/>
          <w:color w:val="auto"/>
          <w:spacing w:val="-2"/>
          <w:sz w:val="24"/>
          <w:highlight w:val="none"/>
        </w:rPr>
        <w:t>年</w:t>
      </w:r>
      <w:r>
        <w:rPr>
          <w:rFonts w:hint="default" w:ascii="Times New Roman" w:hAnsi="Times New Roman" w:eastAsia="仿宋" w:cs="Times New Roman"/>
          <w:bCs/>
          <w:color w:val="auto"/>
          <w:spacing w:val="-2"/>
          <w:sz w:val="24"/>
          <w:highlight w:val="none"/>
          <w:lang w:val="en-US" w:eastAsia="zh-CN"/>
        </w:rPr>
        <w:t>资产营业收入具体金额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“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资产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估值”根据实际情况如实选择。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资金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需求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规模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根据实际情况如实填写。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持股比例”国建集团占子公司（含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资产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）股权比例。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“资金分配比例”国建集团分配融资资金比例。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firstLine="0" w:firstLineChars="0"/>
        <w:jc w:val="left"/>
        <w:outlineLvl w:val="9"/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“合作期限”根据企业实际需求填写。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DAD58"/>
    <w:multiLevelType w:val="multilevel"/>
    <w:tmpl w:val="E92DAD58"/>
    <w:lvl w:ilvl="0" w:tentative="0">
      <w:start w:val="1"/>
      <w:numFmt w:val="decimal"/>
      <w:suff w:val="space"/>
      <w:lvlText w:val="%1."/>
      <w:lvlJc w:val="left"/>
      <w:pPr>
        <w:ind w:left="420" w:leftChars="0" w:firstLine="0" w:firstLineChars="0"/>
      </w:pPr>
      <w:rPr>
        <w:rFonts w:hint="default" w:ascii="Times New Roman" w:hAnsi="Times New Roman" w:cs="Times New Roman"/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1860"/>
        </w:tabs>
        <w:ind w:left="1577" w:hanging="360"/>
      </w:pPr>
    </w:lvl>
    <w:lvl w:ilvl="2" w:tentative="0">
      <w:start w:val="1"/>
      <w:numFmt w:val="decimal"/>
      <w:lvlText w:val="%3."/>
      <w:lvlJc w:val="left"/>
      <w:pPr>
        <w:tabs>
          <w:tab w:val="left" w:pos="2580"/>
        </w:tabs>
        <w:ind w:left="2297" w:hanging="36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017" w:hanging="360"/>
      </w:pPr>
    </w:lvl>
    <w:lvl w:ilvl="4" w:tentative="0">
      <w:start w:val="1"/>
      <w:numFmt w:val="decimal"/>
      <w:lvlText w:val="%5."/>
      <w:lvlJc w:val="left"/>
      <w:pPr>
        <w:tabs>
          <w:tab w:val="left" w:pos="4020"/>
        </w:tabs>
        <w:ind w:left="3737" w:hanging="360"/>
      </w:pPr>
    </w:lvl>
    <w:lvl w:ilvl="5" w:tentative="0">
      <w:start w:val="1"/>
      <w:numFmt w:val="decimal"/>
      <w:lvlText w:val="%6."/>
      <w:lvlJc w:val="left"/>
      <w:pPr>
        <w:tabs>
          <w:tab w:val="left" w:pos="4740"/>
        </w:tabs>
        <w:ind w:left="4457" w:hanging="36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177" w:hanging="360"/>
      </w:pPr>
    </w:lvl>
    <w:lvl w:ilvl="7" w:tentative="0">
      <w:start w:val="1"/>
      <w:numFmt w:val="decimal"/>
      <w:lvlText w:val="%8."/>
      <w:lvlJc w:val="left"/>
      <w:pPr>
        <w:tabs>
          <w:tab w:val="left" w:pos="6180"/>
        </w:tabs>
        <w:ind w:left="5897" w:hanging="360"/>
      </w:pPr>
    </w:lvl>
    <w:lvl w:ilvl="8" w:tentative="0">
      <w:start w:val="1"/>
      <w:numFmt w:val="decimal"/>
      <w:lvlText w:val="%9."/>
      <w:lvlJc w:val="left"/>
      <w:pPr>
        <w:tabs>
          <w:tab w:val="left" w:pos="6900"/>
        </w:tabs>
        <w:ind w:left="66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mYwYThkN2MyYzg1ODQ0NDhlZjE2NTY5NWVmODMifQ=="/>
  </w:docVars>
  <w:rsids>
    <w:rsidRoot w:val="4A6A649D"/>
    <w:rsid w:val="4A6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2023-11-06T05:42:00Z</dcterms:created>
  <dc:creator>谢美玲</dc:creator>
  <cp:lastModifiedBy>谢美玲</cp:lastModifiedBy>
  <dcterms:modified xsi:type="dcterms:W3CDTF">2023-11-06T05:45:38Z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4E51E89DA2254FE5A13DD9A11DC59C9F_11</vt:lpwstr>
  </property>
</Properties>
</file>